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D5C3" w14:textId="61887B00" w:rsidR="00935557" w:rsidRDefault="00241F84">
      <w:r>
        <w:t>CAN</w:t>
      </w:r>
      <w:r w:rsidR="006E7386">
        <w:t xml:space="preserve"> LOCAL CRIMINAL </w:t>
      </w:r>
      <w:r w:rsidR="00B8624C">
        <w:t xml:space="preserve">COURTS </w:t>
      </w:r>
      <w:r w:rsidR="00962670">
        <w:t>GRANT BAIL OR RECOGNIZANCE</w:t>
      </w:r>
      <w:r w:rsidR="00A90292">
        <w:t xml:space="preserve"> </w:t>
      </w:r>
      <w:r w:rsidR="0005199D">
        <w:t xml:space="preserve">FOR </w:t>
      </w:r>
      <w:r w:rsidR="006E7386">
        <w:t>MULTI</w:t>
      </w:r>
      <w:r w:rsidR="008B3E82">
        <w:t>-</w:t>
      </w:r>
      <w:r w:rsidR="006E7386">
        <w:t xml:space="preserve">PREDICATE </w:t>
      </w:r>
      <w:r w:rsidR="00A90292">
        <w:t xml:space="preserve">                    </w:t>
      </w:r>
      <w:r w:rsidR="006E7386">
        <w:t>FELONS CHARGED WITH NON-QUALIFYING FELON</w:t>
      </w:r>
      <w:r w:rsidR="00935557">
        <w:t>IES</w:t>
      </w:r>
      <w:r w:rsidR="00B8624C">
        <w:t xml:space="preserve">? </w:t>
      </w:r>
      <w:r w:rsidR="000C1313">
        <w:t>…YES AND NO.</w:t>
      </w:r>
    </w:p>
    <w:p w14:paraId="17C3356B" w14:textId="77777777" w:rsidR="006E7386" w:rsidRDefault="006E7386"/>
    <w:p w14:paraId="0C113767" w14:textId="318FEF58" w:rsidR="006E7386" w:rsidRDefault="006E7386">
      <w:r>
        <w:t>Thomas P. Franczyk</w:t>
      </w:r>
    </w:p>
    <w:p w14:paraId="4DA9772D" w14:textId="5A99205A" w:rsidR="006E7386" w:rsidRDefault="006E7386">
      <w:r>
        <w:t xml:space="preserve">Mentor-at-Large to the </w:t>
      </w:r>
    </w:p>
    <w:p w14:paraId="6F58A903" w14:textId="12344783" w:rsidR="006E7386" w:rsidRDefault="006E7386">
      <w:r>
        <w:t>Assigned Counsel Program</w:t>
      </w:r>
    </w:p>
    <w:p w14:paraId="1E84221E" w14:textId="4ED6C923" w:rsidR="006E7386" w:rsidRDefault="00DF0569">
      <w:r>
        <w:t>April</w:t>
      </w:r>
      <w:r w:rsidR="006E7386">
        <w:t xml:space="preserve"> 2024</w:t>
      </w:r>
    </w:p>
    <w:p w14:paraId="32C12693" w14:textId="00F203A3" w:rsidR="003927B3" w:rsidRDefault="003927B3"/>
    <w:p w14:paraId="32405EDC" w14:textId="07701420" w:rsidR="003927B3" w:rsidRPr="00763C18" w:rsidRDefault="003927B3">
      <w:r w:rsidRPr="00763C18">
        <w:t>INTRODUCTION</w:t>
      </w:r>
    </w:p>
    <w:p w14:paraId="0AE42FCD" w14:textId="7A1A8FA3" w:rsidR="003927B3" w:rsidRPr="00763C18" w:rsidRDefault="00C7683F">
      <w:r w:rsidRPr="00763C18">
        <w:t>In</w:t>
      </w:r>
      <w:r w:rsidR="00772164" w:rsidRPr="00763C18">
        <w:t xml:space="preserve"> </w:t>
      </w:r>
      <w:r w:rsidR="00772164" w:rsidRPr="00763C18">
        <w:rPr>
          <w:i/>
          <w:iCs/>
        </w:rPr>
        <w:t xml:space="preserve">People </w:t>
      </w:r>
      <w:r w:rsidR="002E219A" w:rsidRPr="00763C18">
        <w:rPr>
          <w:i/>
          <w:iCs/>
        </w:rPr>
        <w:t xml:space="preserve">ex </w:t>
      </w:r>
      <w:r w:rsidR="00354375" w:rsidRPr="00763C18">
        <w:rPr>
          <w:i/>
          <w:iCs/>
        </w:rPr>
        <w:t xml:space="preserve">rel. </w:t>
      </w:r>
      <w:r w:rsidR="00772164" w:rsidRPr="00763C18">
        <w:rPr>
          <w:i/>
          <w:iCs/>
        </w:rPr>
        <w:t>Jo</w:t>
      </w:r>
      <w:r w:rsidR="00034767" w:rsidRPr="00763C18">
        <w:rPr>
          <w:i/>
          <w:iCs/>
        </w:rPr>
        <w:t>hn H. Bradley</w:t>
      </w:r>
      <w:r w:rsidR="0013632A" w:rsidRPr="00763C18">
        <w:t xml:space="preserve"> v</w:t>
      </w:r>
      <w:r w:rsidR="00221AE7" w:rsidRPr="00763C18">
        <w:t xml:space="preserve"> Baxter</w:t>
      </w:r>
      <w:r w:rsidRPr="00763C18">
        <w:t xml:space="preserve"> </w:t>
      </w:r>
      <w:r w:rsidR="002C0209" w:rsidRPr="00763C18">
        <w:t>(79 Misc3d 988 [</w:t>
      </w:r>
      <w:r w:rsidR="00E015E5" w:rsidRPr="00763C18">
        <w:t>Sup Ct</w:t>
      </w:r>
      <w:r w:rsidR="002C0209" w:rsidRPr="00763C18">
        <w:t>,</w:t>
      </w:r>
      <w:r w:rsidR="00E015E5" w:rsidRPr="00763C18">
        <w:t xml:space="preserve"> Monroe County</w:t>
      </w:r>
      <w:r w:rsidR="002C0209" w:rsidRPr="00763C18">
        <w:t xml:space="preserve"> 20</w:t>
      </w:r>
      <w:r w:rsidR="00E015E5" w:rsidRPr="00763C18">
        <w:t>23</w:t>
      </w:r>
      <w:r w:rsidR="002C0209" w:rsidRPr="00763C18">
        <w:t>]</w:t>
      </w:r>
      <w:r w:rsidR="00E015E5" w:rsidRPr="00763C18">
        <w:t>)</w:t>
      </w:r>
      <w:r w:rsidR="0013632A" w:rsidRPr="00763C18">
        <w:t>,</w:t>
      </w:r>
      <w:r w:rsidR="00E015E5" w:rsidRPr="00763C18">
        <w:t xml:space="preserve"> </w:t>
      </w:r>
      <w:r w:rsidR="007C21D2" w:rsidRPr="00763C18">
        <w:t xml:space="preserve">the court held </w:t>
      </w:r>
      <w:r w:rsidR="00B709AC" w:rsidRPr="00763C18">
        <w:t xml:space="preserve"> </w:t>
      </w:r>
      <w:r w:rsidR="00213C40" w:rsidRPr="00763C18">
        <w:t xml:space="preserve">that the statute </w:t>
      </w:r>
      <w:r w:rsidR="004B2FE1" w:rsidRPr="00763C18">
        <w:t>pre</w:t>
      </w:r>
      <w:r w:rsidR="00FF5F33" w:rsidRPr="00763C18">
        <w:t>venting</w:t>
      </w:r>
      <w:r w:rsidR="004B2FE1" w:rsidRPr="00763C18">
        <w:t xml:space="preserve"> </w:t>
      </w:r>
      <w:r w:rsidR="00C5757D" w:rsidRPr="00763C18">
        <w:t>city</w:t>
      </w:r>
      <w:r w:rsidR="006E42D7" w:rsidRPr="00763C18">
        <w:t>, town or village courts from ordering bail or reco</w:t>
      </w:r>
      <w:r w:rsidR="00BE6F84" w:rsidRPr="00763C18">
        <w:t xml:space="preserve">gnizance for </w:t>
      </w:r>
      <w:r w:rsidR="00CC396E" w:rsidRPr="00763C18">
        <w:t>defendants</w:t>
      </w:r>
      <w:r w:rsidR="001D6BF8" w:rsidRPr="00763C18">
        <w:t xml:space="preserve"> </w:t>
      </w:r>
      <w:r w:rsidR="00CC396E" w:rsidRPr="00763C18">
        <w:t xml:space="preserve"> with two</w:t>
      </w:r>
      <w:r w:rsidR="001B5CC6" w:rsidRPr="00763C18">
        <w:t xml:space="preserve"> or more</w:t>
      </w:r>
      <w:r w:rsidR="00CC396E" w:rsidRPr="00763C18">
        <w:t xml:space="preserve"> previous felony convictions (CPL</w:t>
      </w:r>
      <w:r w:rsidR="002B5A94" w:rsidRPr="00763C18">
        <w:t xml:space="preserve"> </w:t>
      </w:r>
      <w:r w:rsidR="00CC396E" w:rsidRPr="00763C18">
        <w:t xml:space="preserve"> </w:t>
      </w:r>
      <w:r w:rsidR="00EE7C4E" w:rsidRPr="00763C18">
        <w:t xml:space="preserve">530.20 [2][a][ii]) </w:t>
      </w:r>
      <w:r w:rsidR="002B5A94" w:rsidRPr="00763C18">
        <w:t xml:space="preserve">who are charged by felony complaint </w:t>
      </w:r>
      <w:r w:rsidR="00196E2F" w:rsidRPr="00763C18">
        <w:t xml:space="preserve">with a FELONY </w:t>
      </w:r>
      <w:r w:rsidR="00A235C9" w:rsidRPr="00763C18">
        <w:t xml:space="preserve">only </w:t>
      </w:r>
      <w:r w:rsidR="001B4693" w:rsidRPr="00763C18">
        <w:t xml:space="preserve">applies to defendants who are charged with </w:t>
      </w:r>
      <w:r w:rsidR="00EC5AE1" w:rsidRPr="00763C18">
        <w:t>QUALIFYING FELONY OFFENSES</w:t>
      </w:r>
      <w:r w:rsidR="00F9013F" w:rsidRPr="00763C18">
        <w:t xml:space="preserve"> defined in CPL </w:t>
      </w:r>
      <w:r w:rsidR="00027B77" w:rsidRPr="00763C18">
        <w:t>510</w:t>
      </w:r>
      <w:r w:rsidR="009978E4" w:rsidRPr="00763C18">
        <w:t>.10 (4)</w:t>
      </w:r>
      <w:r w:rsidR="00982EF7" w:rsidRPr="00763C18">
        <w:t>.</w:t>
      </w:r>
    </w:p>
    <w:p w14:paraId="5D84BE1A" w14:textId="69F5694E" w:rsidR="00982EF7" w:rsidRPr="00763C18" w:rsidRDefault="00907A61">
      <w:r w:rsidRPr="00763C18">
        <w:t xml:space="preserve">In the court’s analysis, </w:t>
      </w:r>
      <w:r w:rsidR="00353F02" w:rsidRPr="00763C18">
        <w:t>a statutory</w:t>
      </w:r>
      <w:r w:rsidRPr="00763C18">
        <w:t xml:space="preserve"> interpretation</w:t>
      </w:r>
      <w:r w:rsidR="00B34CEA" w:rsidRPr="00763C18">
        <w:t xml:space="preserve"> which permits local criminal courts to </w:t>
      </w:r>
      <w:r w:rsidR="008F2BB6" w:rsidRPr="00763C18">
        <w:t xml:space="preserve">issue a securing order granting either recognizance </w:t>
      </w:r>
      <w:r w:rsidR="001324B5" w:rsidRPr="00763C18">
        <w:t>release</w:t>
      </w:r>
      <w:r w:rsidR="00FA225E" w:rsidRPr="00763C18">
        <w:t xml:space="preserve"> or release </w:t>
      </w:r>
      <w:r w:rsidR="001324B5" w:rsidRPr="00763C18">
        <w:t xml:space="preserve">under the least restrictive, non-monetary conditions </w:t>
      </w:r>
      <w:r w:rsidR="00445357" w:rsidRPr="00763C18">
        <w:t xml:space="preserve">for </w:t>
      </w:r>
      <w:r w:rsidR="0079245D" w:rsidRPr="00763C18">
        <w:t>predicate felon</w:t>
      </w:r>
      <w:r w:rsidR="00177360" w:rsidRPr="00763C18">
        <w:t xml:space="preserve">s </w:t>
      </w:r>
      <w:r w:rsidR="00FA225E" w:rsidRPr="00763C18">
        <w:t xml:space="preserve">charged </w:t>
      </w:r>
      <w:r w:rsidR="00683958" w:rsidRPr="00763C18">
        <w:t xml:space="preserve">with </w:t>
      </w:r>
      <w:r w:rsidR="00445357" w:rsidRPr="00763C18">
        <w:t xml:space="preserve">NON-QUALIFYING </w:t>
      </w:r>
      <w:r w:rsidR="003F7A36" w:rsidRPr="00763C18">
        <w:t xml:space="preserve">FELONY OFFENSES </w:t>
      </w:r>
      <w:r w:rsidR="00385BEA" w:rsidRPr="00763C18">
        <w:t>(CPL</w:t>
      </w:r>
      <w:r w:rsidR="00AF0F6F" w:rsidRPr="00763C18">
        <w:t xml:space="preserve"> 510</w:t>
      </w:r>
      <w:r w:rsidR="00EE0F4C" w:rsidRPr="00763C18">
        <w:t>.10 [3])</w:t>
      </w:r>
      <w:r w:rsidR="00683958" w:rsidRPr="00763C18">
        <w:t xml:space="preserve"> is consistent with </w:t>
      </w:r>
      <w:r w:rsidR="0042734D" w:rsidRPr="00763C18">
        <w:t>the general scheme of bail reform</w:t>
      </w:r>
      <w:r w:rsidR="00CF7C0A" w:rsidRPr="00763C18">
        <w:t>, the intent of the Legislature (</w:t>
      </w:r>
      <w:r w:rsidR="00F96B6C" w:rsidRPr="00763C18">
        <w:t xml:space="preserve">to </w:t>
      </w:r>
      <w:r w:rsidR="00FA6224" w:rsidRPr="00763C18">
        <w:t>eliminate pretrial detention for virtually all but the most serious offenses)</w:t>
      </w:r>
      <w:r w:rsidR="005D3812" w:rsidRPr="00763C18">
        <w:t xml:space="preserve"> and common sense.</w:t>
      </w:r>
    </w:p>
    <w:p w14:paraId="0BA17CAD" w14:textId="2C34BE74" w:rsidR="00524CCE" w:rsidRPr="00763C18" w:rsidRDefault="00524CCE">
      <w:r w:rsidRPr="00763C18">
        <w:t>THE CASE</w:t>
      </w:r>
    </w:p>
    <w:p w14:paraId="576BA534" w14:textId="410D4EFB" w:rsidR="00524CCE" w:rsidRPr="00763C18" w:rsidRDefault="00524CCE">
      <w:r w:rsidRPr="00763C18">
        <w:t>The petitioner</w:t>
      </w:r>
      <w:r w:rsidR="002B07BA" w:rsidRPr="00763C18">
        <w:t xml:space="preserve"> brought an Article</w:t>
      </w:r>
      <w:r w:rsidR="00A00C73" w:rsidRPr="00763C18">
        <w:t xml:space="preserve"> </w:t>
      </w:r>
      <w:r w:rsidR="002B07BA" w:rsidRPr="00763C18">
        <w:t xml:space="preserve">78 proceeding in the Fourth Department seeking a </w:t>
      </w:r>
      <w:r w:rsidR="00D42D4C" w:rsidRPr="00763C18">
        <w:t xml:space="preserve">Writ of Habeas Corpus after the City Court </w:t>
      </w:r>
      <w:r w:rsidR="000F7390" w:rsidRPr="00763C18">
        <w:t xml:space="preserve">declined </w:t>
      </w:r>
      <w:r w:rsidR="008302B3" w:rsidRPr="00763C18">
        <w:t xml:space="preserve">to set bail or release him </w:t>
      </w:r>
      <w:r w:rsidR="00AA6DB8" w:rsidRPr="00763C18">
        <w:t>following</w:t>
      </w:r>
      <w:r w:rsidR="008302B3" w:rsidRPr="00763C18">
        <w:t xml:space="preserve"> his arraignment for </w:t>
      </w:r>
      <w:r w:rsidR="00FB07F2" w:rsidRPr="00763C18">
        <w:t>Felony DWI, AUO 1</w:t>
      </w:r>
      <w:r w:rsidR="00FB07F2" w:rsidRPr="00763C18">
        <w:rPr>
          <w:vertAlign w:val="superscript"/>
        </w:rPr>
        <w:t>st</w:t>
      </w:r>
      <w:r w:rsidR="00FB07F2" w:rsidRPr="00763C18">
        <w:t xml:space="preserve"> Degree, CPCS 7</w:t>
      </w:r>
      <w:r w:rsidR="00FB07F2" w:rsidRPr="00763C18">
        <w:rPr>
          <w:vertAlign w:val="superscript"/>
        </w:rPr>
        <w:t>th</w:t>
      </w:r>
      <w:r w:rsidR="00FB07F2" w:rsidRPr="00763C18">
        <w:t xml:space="preserve"> degree </w:t>
      </w:r>
      <w:r w:rsidR="006139AE" w:rsidRPr="00763C18">
        <w:t>and other V</w:t>
      </w:r>
      <w:r w:rsidR="00A125C2" w:rsidRPr="00763C18">
        <w:t>&amp;T offenses.</w:t>
      </w:r>
      <w:r w:rsidR="00A7000D" w:rsidRPr="00763C18">
        <w:t xml:space="preserve"> </w:t>
      </w:r>
      <w:r w:rsidR="002135B0" w:rsidRPr="00763C18">
        <w:t>Instead,</w:t>
      </w:r>
      <w:r w:rsidR="00A7000D" w:rsidRPr="00763C18">
        <w:t xml:space="preserve"> he was remanded per CPL 530.20 (2) </w:t>
      </w:r>
      <w:r w:rsidR="00621026" w:rsidRPr="00763C18">
        <w:t>pending bail review in Superior Court.</w:t>
      </w:r>
    </w:p>
    <w:p w14:paraId="04CF8AA2" w14:textId="10C93CB3" w:rsidR="002135B0" w:rsidRPr="00763C18" w:rsidRDefault="00061F86">
      <w:r w:rsidRPr="00763C18">
        <w:t xml:space="preserve">Since the defendant was released after filing the instant petition, the </w:t>
      </w:r>
      <w:r w:rsidR="004C5E0B" w:rsidRPr="00763C18">
        <w:t>Appellate Division converted it to an action for Declaratory Judgment (</w:t>
      </w:r>
      <w:r w:rsidR="00E76587" w:rsidRPr="00763C18">
        <w:t>203 AD3d 1576 [4</w:t>
      </w:r>
      <w:r w:rsidR="00E76587" w:rsidRPr="00763C18">
        <w:rPr>
          <w:vertAlign w:val="superscript"/>
        </w:rPr>
        <w:t>th</w:t>
      </w:r>
      <w:r w:rsidR="00E76587" w:rsidRPr="00763C18">
        <w:t xml:space="preserve"> Dept 2022]).</w:t>
      </w:r>
    </w:p>
    <w:p w14:paraId="25C6BEF8" w14:textId="4E92297D" w:rsidR="00E5585E" w:rsidRPr="00763C18" w:rsidRDefault="00E5585E">
      <w:r w:rsidRPr="00763C18">
        <w:t>The issue, as framed by Supreme Court</w:t>
      </w:r>
      <w:r w:rsidR="00FF314E" w:rsidRPr="00763C18">
        <w:t>,</w:t>
      </w:r>
      <w:r w:rsidRPr="00763C18">
        <w:t xml:space="preserve"> was </w:t>
      </w:r>
      <w:r w:rsidR="008B577B" w:rsidRPr="00763C18">
        <w:t>whether the Qualifying Offense rule of CPL 510.10</w:t>
      </w:r>
      <w:r w:rsidR="005F099D" w:rsidRPr="00763C18">
        <w:t xml:space="preserve"> could be reconciled with the Double P</w:t>
      </w:r>
      <w:r w:rsidR="00211B95" w:rsidRPr="00763C18">
        <w:t>re</w:t>
      </w:r>
      <w:r w:rsidR="005F099D" w:rsidRPr="00763C18">
        <w:t>dicate Rule of CPL 530.20(2)(</w:t>
      </w:r>
      <w:r w:rsidR="001C59DB" w:rsidRPr="00763C18">
        <w:t>a)</w:t>
      </w:r>
      <w:r w:rsidR="00A03A71" w:rsidRPr="00763C18">
        <w:t xml:space="preserve"> </w:t>
      </w:r>
      <w:r w:rsidR="006D5474" w:rsidRPr="00763C18">
        <w:t xml:space="preserve">to </w:t>
      </w:r>
      <w:r w:rsidR="00004B7D" w:rsidRPr="00763C18">
        <w:t xml:space="preserve">permit either OR release or </w:t>
      </w:r>
      <w:r w:rsidR="00C21E38" w:rsidRPr="00763C18">
        <w:t xml:space="preserve">release </w:t>
      </w:r>
      <w:r w:rsidR="00004B7D" w:rsidRPr="00763C18">
        <w:t xml:space="preserve">on </w:t>
      </w:r>
      <w:r w:rsidR="00206600" w:rsidRPr="00763C18">
        <w:t xml:space="preserve">non-monetary </w:t>
      </w:r>
      <w:r w:rsidR="009A3E7F" w:rsidRPr="00763C18">
        <w:t>conditions of</w:t>
      </w:r>
      <w:r w:rsidR="00211B95" w:rsidRPr="00763C18">
        <w:t xml:space="preserve"> </w:t>
      </w:r>
      <w:r w:rsidR="00591BB8" w:rsidRPr="00763C18">
        <w:t>a</w:t>
      </w:r>
      <w:r w:rsidR="00211B95" w:rsidRPr="00763C18">
        <w:t xml:space="preserve"> predicate felon charged with a </w:t>
      </w:r>
      <w:r w:rsidR="00BC62F5" w:rsidRPr="00763C18">
        <w:t xml:space="preserve">non-qualifying </w:t>
      </w:r>
      <w:r w:rsidR="00211B95" w:rsidRPr="00763C18">
        <w:t>felony offense</w:t>
      </w:r>
      <w:r w:rsidR="00206600" w:rsidRPr="00763C18">
        <w:t xml:space="preserve"> </w:t>
      </w:r>
      <w:r w:rsidR="00F52AB7" w:rsidRPr="00763C18">
        <w:t>upon the order of the local court</w:t>
      </w:r>
      <w:r w:rsidR="00BC62F5" w:rsidRPr="00763C18">
        <w:t>.</w:t>
      </w:r>
    </w:p>
    <w:p w14:paraId="138F7028" w14:textId="45DBED8F" w:rsidR="00C80D9E" w:rsidRPr="00763C18" w:rsidRDefault="00C80D9E">
      <w:r w:rsidRPr="00763C18">
        <w:t xml:space="preserve">The petitioner argued that </w:t>
      </w:r>
      <w:r w:rsidR="00313C79" w:rsidRPr="00763C18">
        <w:t>the plain meaning of CPL</w:t>
      </w:r>
      <w:r w:rsidR="004907E3" w:rsidRPr="00763C18">
        <w:t xml:space="preserve"> 510</w:t>
      </w:r>
      <w:r w:rsidR="00313C79" w:rsidRPr="00763C18">
        <w:t>.10(4) an</w:t>
      </w:r>
      <w:r w:rsidR="0032057A" w:rsidRPr="00763C18">
        <w:t>d</w:t>
      </w:r>
      <w:r w:rsidR="00313C79" w:rsidRPr="00763C18">
        <w:t xml:space="preserve"> 530.20(</w:t>
      </w:r>
      <w:r w:rsidR="00210C74" w:rsidRPr="00763C18">
        <w:t>1((</w:t>
      </w:r>
      <w:r w:rsidR="00313C79" w:rsidRPr="00763C18">
        <w:t xml:space="preserve">b) </w:t>
      </w:r>
      <w:r w:rsidR="00D97685" w:rsidRPr="00763C18">
        <w:t xml:space="preserve">require a lower court to issue a securing order releasing </w:t>
      </w:r>
      <w:r w:rsidR="00E222EB" w:rsidRPr="00763C18">
        <w:t>a defendant charged with a</w:t>
      </w:r>
      <w:r w:rsidR="00BB6C4A" w:rsidRPr="00763C18">
        <w:t xml:space="preserve"> NON-QUALIFYING FELONY OFFENSE </w:t>
      </w:r>
      <w:r w:rsidR="00F043FF" w:rsidRPr="00763C18">
        <w:t xml:space="preserve">(either on recognizance or on </w:t>
      </w:r>
      <w:r w:rsidR="00896E86" w:rsidRPr="00763C18">
        <w:t>conditions)</w:t>
      </w:r>
      <w:r w:rsidR="00F043FF" w:rsidRPr="00763C18">
        <w:t xml:space="preserve"> </w:t>
      </w:r>
      <w:r w:rsidR="00703DD7" w:rsidRPr="00763C18">
        <w:t xml:space="preserve">regardless of the number of prior felony convictions. </w:t>
      </w:r>
      <w:r w:rsidR="00A03C95" w:rsidRPr="00763C18">
        <w:t xml:space="preserve">Only </w:t>
      </w:r>
      <w:r w:rsidR="000F7EFE" w:rsidRPr="00763C18">
        <w:t>if such</w:t>
      </w:r>
      <w:r w:rsidR="00A03C95" w:rsidRPr="00763C18">
        <w:t xml:space="preserve"> </w:t>
      </w:r>
      <w:r w:rsidR="00A00C73" w:rsidRPr="00763C18">
        <w:t>a defendant</w:t>
      </w:r>
      <w:r w:rsidR="00A03C95" w:rsidRPr="00763C18">
        <w:t xml:space="preserve"> is charge</w:t>
      </w:r>
      <w:r w:rsidR="000F7EFE" w:rsidRPr="00763C18">
        <w:t>d</w:t>
      </w:r>
      <w:r w:rsidR="00A03C95" w:rsidRPr="00763C18">
        <w:t xml:space="preserve"> with a </w:t>
      </w:r>
      <w:r w:rsidR="00896E86" w:rsidRPr="00763C18">
        <w:t xml:space="preserve">QUALIFYING FELONY OFFENSE </w:t>
      </w:r>
      <w:r w:rsidR="000F7EFE" w:rsidRPr="00763C18">
        <w:t xml:space="preserve">must the court defer to the superior court </w:t>
      </w:r>
      <w:r w:rsidR="004B3BB3" w:rsidRPr="00763C18">
        <w:t xml:space="preserve">for purposes </w:t>
      </w:r>
      <w:r w:rsidR="00361EBF" w:rsidRPr="00763C18">
        <w:t>of</w:t>
      </w:r>
      <w:r w:rsidR="004B3BB3" w:rsidRPr="00763C18">
        <w:t xml:space="preserve"> bail.</w:t>
      </w:r>
    </w:p>
    <w:p w14:paraId="52E115C4" w14:textId="5521DA50" w:rsidR="004B3BB3" w:rsidRPr="00763C18" w:rsidRDefault="004B3BB3">
      <w:r w:rsidRPr="00763C18">
        <w:t>SUPREME COURT SAYS</w:t>
      </w:r>
    </w:p>
    <w:p w14:paraId="1F59CDC3" w14:textId="3BD3CF10" w:rsidR="004B3BB3" w:rsidRPr="00763C18" w:rsidRDefault="00F73214">
      <w:r w:rsidRPr="00763C18">
        <w:lastRenderedPageBreak/>
        <w:t xml:space="preserve">The court noted </w:t>
      </w:r>
      <w:r w:rsidR="001552B8" w:rsidRPr="00763C18">
        <w:t xml:space="preserve">that </w:t>
      </w:r>
      <w:r w:rsidR="00564114" w:rsidRPr="00763C18">
        <w:t xml:space="preserve">both CPL </w:t>
      </w:r>
      <w:r w:rsidRPr="00763C18">
        <w:t>510.10</w:t>
      </w:r>
      <w:r w:rsidR="00554BC1" w:rsidRPr="00763C18">
        <w:t xml:space="preserve"> (4)</w:t>
      </w:r>
      <w:r w:rsidR="005D33D9" w:rsidRPr="00763C18">
        <w:t xml:space="preserve"> and 530.20 (1)(</w:t>
      </w:r>
      <w:r w:rsidR="00564114" w:rsidRPr="00763C18">
        <w:t>b) create</w:t>
      </w:r>
      <w:r w:rsidR="005D33D9" w:rsidRPr="00763C18">
        <w:t xml:space="preserve"> </w:t>
      </w:r>
      <w:r w:rsidR="00554BC1" w:rsidRPr="00763C18">
        <w:t xml:space="preserve">a PRESUMPTION favoring OR </w:t>
      </w:r>
      <w:r w:rsidR="000212E0" w:rsidRPr="00763C18">
        <w:t xml:space="preserve">release </w:t>
      </w:r>
      <w:r w:rsidR="00355DB8" w:rsidRPr="00763C18">
        <w:t xml:space="preserve">or release on </w:t>
      </w:r>
      <w:r w:rsidR="008B7B49" w:rsidRPr="00763C18">
        <w:t xml:space="preserve">the </w:t>
      </w:r>
      <w:r w:rsidR="00794AC4" w:rsidRPr="00763C18">
        <w:t xml:space="preserve">least restrictive </w:t>
      </w:r>
      <w:r w:rsidR="004A46D3" w:rsidRPr="00763C18">
        <w:t>type</w:t>
      </w:r>
      <w:r w:rsidR="00794AC4" w:rsidRPr="00763C18">
        <w:t xml:space="preserve"> of </w:t>
      </w:r>
      <w:r w:rsidR="00361EBF" w:rsidRPr="00763C18">
        <w:t>NON</w:t>
      </w:r>
      <w:r w:rsidR="00BC31F0" w:rsidRPr="00763C18">
        <w:t>-</w:t>
      </w:r>
      <w:r w:rsidR="00361EBF" w:rsidRPr="00763C18">
        <w:t>MONETARY CONDITIONS</w:t>
      </w:r>
      <w:r w:rsidR="00355DB8" w:rsidRPr="00763C18">
        <w:t xml:space="preserve"> </w:t>
      </w:r>
      <w:r w:rsidR="00D11C5D" w:rsidRPr="00763C18">
        <w:t>(</w:t>
      </w:r>
      <w:r w:rsidR="008B7B49" w:rsidRPr="00763C18">
        <w:t xml:space="preserve">if </w:t>
      </w:r>
      <w:r w:rsidR="00355DB8" w:rsidRPr="00763C18">
        <w:t xml:space="preserve">the defendant </w:t>
      </w:r>
      <w:r w:rsidR="001537DC" w:rsidRPr="00763C18">
        <w:t xml:space="preserve">is deemed by the court to </w:t>
      </w:r>
      <w:r w:rsidR="00355DB8" w:rsidRPr="00763C18">
        <w:t>pose a risk of not ret</w:t>
      </w:r>
      <w:r w:rsidR="00794AC4" w:rsidRPr="00763C18">
        <w:t xml:space="preserve">urning to </w:t>
      </w:r>
      <w:r w:rsidR="005A72B4" w:rsidRPr="00763C18">
        <w:t>court</w:t>
      </w:r>
      <w:r w:rsidR="00D11C5D" w:rsidRPr="00763C18">
        <w:t>)</w:t>
      </w:r>
      <w:r w:rsidR="005A72B4" w:rsidRPr="00763C18">
        <w:t xml:space="preserve">, limits </w:t>
      </w:r>
      <w:r w:rsidR="0075665C" w:rsidRPr="00763C18">
        <w:t>the MONE</w:t>
      </w:r>
      <w:r w:rsidR="00BC31F0" w:rsidRPr="00763C18">
        <w:t>TARY</w:t>
      </w:r>
      <w:r w:rsidR="0075665C" w:rsidRPr="00763C18">
        <w:t xml:space="preserve"> BAIL option </w:t>
      </w:r>
      <w:r w:rsidR="00D55478" w:rsidRPr="00763C18">
        <w:t xml:space="preserve">to enumerated </w:t>
      </w:r>
      <w:r w:rsidR="00BC31F0" w:rsidRPr="00763C18">
        <w:t>QUALIFYING OFFENSES</w:t>
      </w:r>
      <w:r w:rsidR="00D55478" w:rsidRPr="00763C18">
        <w:t xml:space="preserve">, and </w:t>
      </w:r>
      <w:r w:rsidR="0010638B" w:rsidRPr="00763C18">
        <w:t xml:space="preserve">permits </w:t>
      </w:r>
      <w:r w:rsidR="005004D2" w:rsidRPr="00763C18">
        <w:t xml:space="preserve">REMAND where </w:t>
      </w:r>
      <w:r w:rsidR="0010638B" w:rsidRPr="00763C18">
        <w:t xml:space="preserve">the </w:t>
      </w:r>
      <w:r w:rsidR="00D62699" w:rsidRPr="00763C18">
        <w:t>QUALIFYING OFFENSE</w:t>
      </w:r>
      <w:r w:rsidR="0010638B" w:rsidRPr="00763C18">
        <w:t xml:space="preserve"> is also a felony. </w:t>
      </w:r>
      <w:r w:rsidR="00D55478" w:rsidRPr="00763C18">
        <w:t xml:space="preserve"> </w:t>
      </w:r>
      <w:r w:rsidR="006104A1" w:rsidRPr="00763C18">
        <w:t xml:space="preserve">Absent a </w:t>
      </w:r>
      <w:r w:rsidR="00D62699" w:rsidRPr="00763C18">
        <w:t>QUALIFYING OFFENSE</w:t>
      </w:r>
      <w:r w:rsidR="006104A1" w:rsidRPr="00763C18">
        <w:t xml:space="preserve">, the only </w:t>
      </w:r>
      <w:r w:rsidR="00692ED7" w:rsidRPr="00763C18">
        <w:t>recourse</w:t>
      </w:r>
      <w:r w:rsidR="006104A1" w:rsidRPr="00763C18">
        <w:t xml:space="preserve"> available to the court is </w:t>
      </w:r>
      <w:r w:rsidR="000212E0" w:rsidRPr="00763C18">
        <w:t xml:space="preserve">to grant </w:t>
      </w:r>
      <w:r w:rsidR="00564114" w:rsidRPr="00763C18">
        <w:t>one form o</w:t>
      </w:r>
      <w:r w:rsidR="001661F5" w:rsidRPr="00763C18">
        <w:t>f</w:t>
      </w:r>
      <w:r w:rsidR="00564114" w:rsidRPr="00763C18">
        <w:t xml:space="preserve"> release or the other.</w:t>
      </w:r>
    </w:p>
    <w:p w14:paraId="4C6A6C9C" w14:textId="6F0B96F4" w:rsidR="00E609E8" w:rsidRPr="00763C18" w:rsidRDefault="00E609E8">
      <w:r w:rsidRPr="00763C18">
        <w:t xml:space="preserve">The court also noted that the </w:t>
      </w:r>
      <w:r w:rsidR="00B02B07" w:rsidRPr="00763C18">
        <w:t>Q</w:t>
      </w:r>
      <w:r w:rsidR="00CC6DD9" w:rsidRPr="00763C18">
        <w:t>UALIFYING OFFENSE</w:t>
      </w:r>
      <w:r w:rsidR="00B02B07" w:rsidRPr="00763C18">
        <w:t xml:space="preserve"> rule </w:t>
      </w:r>
      <w:r w:rsidR="00077F84" w:rsidRPr="00763C18">
        <w:t>does not eliminate the D</w:t>
      </w:r>
      <w:r w:rsidR="00CC6DD9" w:rsidRPr="00763C18">
        <w:t>OUBLE PREDICATE</w:t>
      </w:r>
      <w:r w:rsidR="00077F84" w:rsidRPr="00763C18">
        <w:t xml:space="preserve"> rule but only limits it </w:t>
      </w:r>
      <w:r w:rsidR="007418E6" w:rsidRPr="00763C18">
        <w:t xml:space="preserve">to interpret “felony” </w:t>
      </w:r>
      <w:r w:rsidR="00506288" w:rsidRPr="00763C18">
        <w:t>as one that constitutes a</w:t>
      </w:r>
      <w:r w:rsidR="006C796C" w:rsidRPr="00763C18">
        <w:t xml:space="preserve"> QUALIFYING</w:t>
      </w:r>
      <w:r w:rsidR="00506288" w:rsidRPr="00763C18">
        <w:t xml:space="preserve"> </w:t>
      </w:r>
      <w:r w:rsidR="006C796C" w:rsidRPr="00763C18">
        <w:t>OFFENSE</w:t>
      </w:r>
      <w:r w:rsidR="00506288" w:rsidRPr="00763C18">
        <w:t xml:space="preserve"> under CPL 510.10. To do otherwise, in the courts view, would </w:t>
      </w:r>
      <w:r w:rsidR="00290EF5" w:rsidRPr="00763C18">
        <w:t>undermine the Q</w:t>
      </w:r>
      <w:r w:rsidR="00AD1279" w:rsidRPr="00763C18">
        <w:t>UALIFYING OFFENSE</w:t>
      </w:r>
      <w:r w:rsidR="00290EF5" w:rsidRPr="00763C18">
        <w:t xml:space="preserve"> rule</w:t>
      </w:r>
      <w:r w:rsidR="009B4D70" w:rsidRPr="00763C18">
        <w:t xml:space="preserve"> by allowing a local court to detain a defendant in custody </w:t>
      </w:r>
      <w:r w:rsidR="004C1E81" w:rsidRPr="00763C18">
        <w:t xml:space="preserve">upon a </w:t>
      </w:r>
      <w:r w:rsidR="00AD1279" w:rsidRPr="00763C18">
        <w:t>NON-QUALIFYING</w:t>
      </w:r>
      <w:r w:rsidR="00BC3CF9" w:rsidRPr="00763C18">
        <w:t xml:space="preserve"> offense </w:t>
      </w:r>
      <w:r w:rsidR="00EF3AEC" w:rsidRPr="00763C18">
        <w:t xml:space="preserve">for which a superior court </w:t>
      </w:r>
      <w:r w:rsidR="00D26EB9" w:rsidRPr="00763C18">
        <w:t xml:space="preserve">could only grant an order of release </w:t>
      </w:r>
      <w:r w:rsidR="00024AFC" w:rsidRPr="00763C18">
        <w:t xml:space="preserve">either on recognizance or upon non-monetary conditions. </w:t>
      </w:r>
    </w:p>
    <w:p w14:paraId="5120DD09" w14:textId="66659D92" w:rsidR="00510F12" w:rsidRPr="00763C18" w:rsidRDefault="00510F12">
      <w:r w:rsidRPr="00763C18">
        <w:t xml:space="preserve">Allowing a lower court to </w:t>
      </w:r>
      <w:r w:rsidR="00FA3DFB" w:rsidRPr="00763C18">
        <w:t>issue a securing order for</w:t>
      </w:r>
      <w:r w:rsidR="00881135" w:rsidRPr="00763C18">
        <w:t xml:space="preserve"> </w:t>
      </w:r>
      <w:r w:rsidR="0024793D" w:rsidRPr="00763C18">
        <w:t xml:space="preserve">a predicate </w:t>
      </w:r>
      <w:r w:rsidR="00FA3DFB" w:rsidRPr="00763C18">
        <w:t xml:space="preserve">felon charged with </w:t>
      </w:r>
      <w:r w:rsidR="007E2F08" w:rsidRPr="00763C18">
        <w:t xml:space="preserve">a </w:t>
      </w:r>
      <w:r w:rsidR="008976EA" w:rsidRPr="00763C18">
        <w:t>NON-QUALIFYING</w:t>
      </w:r>
      <w:r w:rsidR="00E17315" w:rsidRPr="00763C18">
        <w:t xml:space="preserve"> felony</w:t>
      </w:r>
      <w:r w:rsidR="007E2F08" w:rsidRPr="00763C18">
        <w:t xml:space="preserve"> </w:t>
      </w:r>
      <w:r w:rsidR="004A2731" w:rsidRPr="00763C18">
        <w:t xml:space="preserve">offense also </w:t>
      </w:r>
      <w:r w:rsidR="007E2F08" w:rsidRPr="00763C18">
        <w:t>serve</w:t>
      </w:r>
      <w:r w:rsidR="00D364E9" w:rsidRPr="00763C18">
        <w:t>s</w:t>
      </w:r>
      <w:r w:rsidR="007E2F08" w:rsidRPr="00763C18">
        <w:t xml:space="preserve"> the interest of judicial economy by </w:t>
      </w:r>
      <w:r w:rsidR="007D4997" w:rsidRPr="00763C18">
        <w:t xml:space="preserve">obviating the need </w:t>
      </w:r>
      <w:r w:rsidR="00B71D85" w:rsidRPr="00763C18">
        <w:t>to schedule a</w:t>
      </w:r>
      <w:r w:rsidR="00C82A81" w:rsidRPr="00763C18">
        <w:t xml:space="preserve"> separate proceeding in superior court </w:t>
      </w:r>
      <w:r w:rsidR="005B53CE" w:rsidRPr="00763C18">
        <w:t xml:space="preserve">which necessarily </w:t>
      </w:r>
      <w:r w:rsidR="008853E7" w:rsidRPr="00763C18">
        <w:t>results</w:t>
      </w:r>
      <w:r w:rsidR="003D790A" w:rsidRPr="00763C18">
        <w:t xml:space="preserve"> in </w:t>
      </w:r>
      <w:r w:rsidR="005B53CE" w:rsidRPr="00763C18">
        <w:t>the defendant’s release pending a pre</w:t>
      </w:r>
      <w:r w:rsidR="00881135" w:rsidRPr="00763C18">
        <w:t xml:space="preserve">liminary hearing </w:t>
      </w:r>
      <w:r w:rsidR="004A2731" w:rsidRPr="00763C18">
        <w:t xml:space="preserve">anyway. </w:t>
      </w:r>
      <w:r w:rsidR="003D790A" w:rsidRPr="00763C18">
        <w:t>To interpret “felony” in CPL 530.20</w:t>
      </w:r>
      <w:r w:rsidR="006A2144" w:rsidRPr="00763C18">
        <w:t xml:space="preserve"> to include </w:t>
      </w:r>
      <w:r w:rsidR="002F2D6B" w:rsidRPr="00763C18">
        <w:t xml:space="preserve">NON-QUALIFYING </w:t>
      </w:r>
      <w:r w:rsidR="00F85BDB" w:rsidRPr="00763C18">
        <w:t>felony offenses</w:t>
      </w:r>
      <w:r w:rsidR="0079082A" w:rsidRPr="00763C18">
        <w:t>,</w:t>
      </w:r>
      <w:r w:rsidR="006A2144" w:rsidRPr="00763C18">
        <w:t xml:space="preserve"> in the court’s estimation</w:t>
      </w:r>
      <w:r w:rsidR="00CC68B3" w:rsidRPr="00763C18">
        <w:t xml:space="preserve">, not </w:t>
      </w:r>
      <w:r w:rsidR="00D20832" w:rsidRPr="00763C18">
        <w:t xml:space="preserve">only </w:t>
      </w:r>
      <w:r w:rsidR="003B23A6" w:rsidRPr="00763C18">
        <w:t xml:space="preserve">exalts </w:t>
      </w:r>
      <w:r w:rsidR="006A2144" w:rsidRPr="00763C18">
        <w:t xml:space="preserve">form over substance </w:t>
      </w:r>
      <w:r w:rsidR="00BB328A" w:rsidRPr="00763C18">
        <w:t>but</w:t>
      </w:r>
      <w:r w:rsidR="00750FE5" w:rsidRPr="00763C18">
        <w:t xml:space="preserve"> invites a waste of time and judicial resources. </w:t>
      </w:r>
    </w:p>
    <w:p w14:paraId="4BF44F60" w14:textId="5084BE70" w:rsidR="003A1096" w:rsidRPr="00763C18" w:rsidRDefault="003A1096">
      <w:r w:rsidRPr="00763C18">
        <w:t>The cour</w:t>
      </w:r>
      <w:r w:rsidR="00D20832" w:rsidRPr="00763C18">
        <w:t xml:space="preserve">t </w:t>
      </w:r>
      <w:r w:rsidR="003B23A6" w:rsidRPr="00763C18">
        <w:t xml:space="preserve">reasoned further that if the Legislature </w:t>
      </w:r>
      <w:r w:rsidR="00BE1894" w:rsidRPr="00763C18">
        <w:t xml:space="preserve">had intended </w:t>
      </w:r>
      <w:r w:rsidR="00CC6588" w:rsidRPr="00763C18">
        <w:t>CPL 530.20</w:t>
      </w:r>
      <w:r w:rsidR="00BE1894" w:rsidRPr="00763C18">
        <w:t xml:space="preserve"> to serve</w:t>
      </w:r>
      <w:r w:rsidR="007752E1" w:rsidRPr="00763C18">
        <w:t xml:space="preserve"> as an exception to </w:t>
      </w:r>
      <w:r w:rsidR="00CC6588" w:rsidRPr="00763C18">
        <w:t>CPL 510.10</w:t>
      </w:r>
      <w:r w:rsidR="008A56D5" w:rsidRPr="00763C18">
        <w:t xml:space="preserve">’s requirement for </w:t>
      </w:r>
      <w:r w:rsidR="00D204D6" w:rsidRPr="00763C18">
        <w:t xml:space="preserve">OR release or release on </w:t>
      </w:r>
      <w:r w:rsidR="00A831FD" w:rsidRPr="00763C18">
        <w:t>conditions</w:t>
      </w:r>
      <w:r w:rsidR="008F7836" w:rsidRPr="00763C18">
        <w:t xml:space="preserve"> for</w:t>
      </w:r>
      <w:r w:rsidR="00DF7DA6" w:rsidRPr="00763C18">
        <w:t xml:space="preserve"> NON-QUALIFYING offenses</w:t>
      </w:r>
      <w:r w:rsidR="00A831FD" w:rsidRPr="00763C18">
        <w:t xml:space="preserve">, it could have </w:t>
      </w:r>
      <w:r w:rsidR="00F05550" w:rsidRPr="00763C18">
        <w:t>so indicated.</w:t>
      </w:r>
      <w:r w:rsidR="005A67F8" w:rsidRPr="00763C18">
        <w:t xml:space="preserve"> (On</w:t>
      </w:r>
      <w:r w:rsidR="0042193E" w:rsidRPr="00763C18">
        <w:t xml:space="preserve"> the other </w:t>
      </w:r>
      <w:r w:rsidR="00BA2BCD" w:rsidRPr="00763C18">
        <w:t>hand, one</w:t>
      </w:r>
      <w:r w:rsidR="005A67F8" w:rsidRPr="00763C18">
        <w:t xml:space="preserve"> could argue that </w:t>
      </w:r>
      <w:r w:rsidR="007168EB" w:rsidRPr="00763C18">
        <w:t xml:space="preserve">if </w:t>
      </w:r>
      <w:r w:rsidR="005A67F8" w:rsidRPr="00763C18">
        <w:t xml:space="preserve">the Legislature </w:t>
      </w:r>
      <w:r w:rsidR="007168EB" w:rsidRPr="00763C18">
        <w:t xml:space="preserve">intended to </w:t>
      </w:r>
      <w:r w:rsidR="00D700BA" w:rsidRPr="00763C18">
        <w:t>replace “</w:t>
      </w:r>
      <w:r w:rsidR="00DF0716" w:rsidRPr="00763C18">
        <w:t>felony” in CPL 530.20 with QUALIFYING FELONY OFFENSE</w:t>
      </w:r>
      <w:r w:rsidR="005055C3" w:rsidRPr="00763C18">
        <w:t>, it could have done so).</w:t>
      </w:r>
    </w:p>
    <w:p w14:paraId="7C691677" w14:textId="2FFAAE82" w:rsidR="00115A18" w:rsidRPr="00763C18" w:rsidRDefault="00115A18">
      <w:r w:rsidRPr="00763C18">
        <w:t xml:space="preserve">Nevertheless, </w:t>
      </w:r>
      <w:r w:rsidR="00BD1C63" w:rsidRPr="00763C18">
        <w:t>the court</w:t>
      </w:r>
      <w:r w:rsidR="00CE3116" w:rsidRPr="00763C18">
        <w:t xml:space="preserve"> </w:t>
      </w:r>
      <w:r w:rsidR="00041B19" w:rsidRPr="00763C18">
        <w:t>determined</w:t>
      </w:r>
      <w:r w:rsidR="00BD1C63" w:rsidRPr="00763C18">
        <w:t xml:space="preserve"> that </w:t>
      </w:r>
      <w:r w:rsidR="00412A4E" w:rsidRPr="00763C18">
        <w:t xml:space="preserve">the overall </w:t>
      </w:r>
      <w:r w:rsidR="007F1FAC" w:rsidRPr="00763C18">
        <w:t xml:space="preserve">legislative scheme and purpose of the bail statutes combined with practical considerations </w:t>
      </w:r>
      <w:r w:rsidR="00540B2F" w:rsidRPr="00763C18">
        <w:t xml:space="preserve">compel </w:t>
      </w:r>
      <w:r w:rsidR="00DD2AEF" w:rsidRPr="00763C18">
        <w:t xml:space="preserve">the </w:t>
      </w:r>
      <w:r w:rsidR="00CE3116" w:rsidRPr="00763C18">
        <w:t xml:space="preserve">conclusion that </w:t>
      </w:r>
      <w:r w:rsidR="00DD2AEF" w:rsidRPr="00763C18">
        <w:t xml:space="preserve">the statutory </w:t>
      </w:r>
      <w:r w:rsidR="002935C0" w:rsidRPr="00763C18">
        <w:t xml:space="preserve">proscription </w:t>
      </w:r>
      <w:r w:rsidR="00E13C6A" w:rsidRPr="00763C18">
        <w:t>against</w:t>
      </w:r>
      <w:r w:rsidR="00DD2AEF" w:rsidRPr="00763C18">
        <w:t xml:space="preserve"> </w:t>
      </w:r>
      <w:r w:rsidR="00CE3116" w:rsidRPr="00763C18">
        <w:t xml:space="preserve">a local court’s authority </w:t>
      </w:r>
      <w:r w:rsidR="002935C0" w:rsidRPr="00763C18">
        <w:t xml:space="preserve">to set bail on a </w:t>
      </w:r>
      <w:r w:rsidR="0017761A" w:rsidRPr="00763C18">
        <w:t xml:space="preserve">FELONY </w:t>
      </w:r>
      <w:r w:rsidR="00B273A3" w:rsidRPr="00763C18">
        <w:t>charged against a defendant with two</w:t>
      </w:r>
      <w:r w:rsidR="000F7AAF" w:rsidRPr="00763C18">
        <w:t xml:space="preserve"> or more</w:t>
      </w:r>
      <w:r w:rsidR="00B273A3" w:rsidRPr="00763C18">
        <w:t xml:space="preserve"> prior felony convictions </w:t>
      </w:r>
      <w:r w:rsidR="008C7EC3" w:rsidRPr="00763C18">
        <w:t>is limited to QUAL</w:t>
      </w:r>
      <w:r w:rsidR="00D155F0" w:rsidRPr="00763C18">
        <w:t>IFYING</w:t>
      </w:r>
      <w:r w:rsidR="008C7EC3" w:rsidRPr="00763C18">
        <w:t xml:space="preserve"> OFFENSES</w:t>
      </w:r>
      <w:r w:rsidR="00BD127D" w:rsidRPr="00763C18">
        <w:t>.</w:t>
      </w:r>
    </w:p>
    <w:p w14:paraId="4789683B" w14:textId="2595AA18" w:rsidR="00E65D70" w:rsidRPr="00763C18" w:rsidRDefault="0003659D">
      <w:r w:rsidRPr="00763C18">
        <w:t xml:space="preserve">BUT SEE </w:t>
      </w:r>
      <w:r w:rsidRPr="00763C18">
        <w:rPr>
          <w:i/>
          <w:iCs/>
        </w:rPr>
        <w:t>PEOPLE V ARROYO</w:t>
      </w:r>
    </w:p>
    <w:p w14:paraId="5FA0B25C" w14:textId="7EAF555A" w:rsidR="00886A85" w:rsidRPr="00763C18" w:rsidRDefault="00D6764E">
      <w:r w:rsidRPr="00763C18">
        <w:t xml:space="preserve">In </w:t>
      </w:r>
      <w:r w:rsidRPr="00763C18">
        <w:rPr>
          <w:i/>
          <w:iCs/>
        </w:rPr>
        <w:t>People v A</w:t>
      </w:r>
      <w:r w:rsidR="003178B1" w:rsidRPr="00763C18">
        <w:rPr>
          <w:i/>
          <w:iCs/>
        </w:rPr>
        <w:t>rroyo</w:t>
      </w:r>
      <w:r w:rsidRPr="00763C18">
        <w:t xml:space="preserve"> </w:t>
      </w:r>
      <w:r w:rsidR="001F5A71" w:rsidRPr="00763C18">
        <w:t>(</w:t>
      </w:r>
      <w:r w:rsidRPr="00763C18">
        <w:t>2023 NY Slip Op</w:t>
      </w:r>
      <w:r w:rsidR="00B946F8" w:rsidRPr="00763C18">
        <w:t xml:space="preserve"> 50612 </w:t>
      </w:r>
      <w:r w:rsidR="001F5A71" w:rsidRPr="00763C18">
        <w:t>[</w:t>
      </w:r>
      <w:r w:rsidR="00B946F8" w:rsidRPr="00763C18">
        <w:t>Rochester City Court 6/23/23</w:t>
      </w:r>
      <w:r w:rsidR="001F5A71" w:rsidRPr="00763C18">
        <w:t>]</w:t>
      </w:r>
      <w:r w:rsidR="00B946F8" w:rsidRPr="00763C18">
        <w:t>) , the court rejected</w:t>
      </w:r>
      <w:r w:rsidR="002C4940" w:rsidRPr="00763C18">
        <w:t xml:space="preserve"> </w:t>
      </w:r>
      <w:r w:rsidR="008E49AA" w:rsidRPr="00763C18">
        <w:t xml:space="preserve">the </w:t>
      </w:r>
      <w:r w:rsidR="002C4940" w:rsidRPr="00763C18">
        <w:t>Supreme Court’s statutory interpretation</w:t>
      </w:r>
      <w:r w:rsidR="008E49AA" w:rsidRPr="00763C18">
        <w:t xml:space="preserve"> in </w:t>
      </w:r>
      <w:r w:rsidR="00B946F8" w:rsidRPr="00763C18">
        <w:t xml:space="preserve"> </w:t>
      </w:r>
      <w:r w:rsidR="00450431" w:rsidRPr="00763C18">
        <w:rPr>
          <w:i/>
          <w:iCs/>
        </w:rPr>
        <w:t xml:space="preserve">People ex </w:t>
      </w:r>
      <w:r w:rsidR="009C0C88" w:rsidRPr="00763C18">
        <w:rPr>
          <w:i/>
          <w:iCs/>
        </w:rPr>
        <w:t>rel.</w:t>
      </w:r>
      <w:r w:rsidR="00C325F7" w:rsidRPr="00763C18">
        <w:rPr>
          <w:i/>
          <w:iCs/>
        </w:rPr>
        <w:t xml:space="preserve"> </w:t>
      </w:r>
      <w:r w:rsidR="00450431" w:rsidRPr="00763C18">
        <w:rPr>
          <w:i/>
          <w:iCs/>
        </w:rPr>
        <w:t xml:space="preserve">Bradley </w:t>
      </w:r>
      <w:r w:rsidR="00E12950" w:rsidRPr="00763C18">
        <w:rPr>
          <w:i/>
          <w:iCs/>
        </w:rPr>
        <w:t>v Baxter</w:t>
      </w:r>
      <w:r w:rsidR="00E12950" w:rsidRPr="00763C18">
        <w:t>, supra, finding that the</w:t>
      </w:r>
      <w:r w:rsidR="008E49AA" w:rsidRPr="00763C18">
        <w:t xml:space="preserve"> plain</w:t>
      </w:r>
      <w:r w:rsidR="00E12950" w:rsidRPr="00763C18">
        <w:t xml:space="preserve"> language and legislative history of CP</w:t>
      </w:r>
      <w:r w:rsidR="009D7C84" w:rsidRPr="00763C18">
        <w:t xml:space="preserve">L 530.20 supported the </w:t>
      </w:r>
      <w:r w:rsidR="00C52196" w:rsidRPr="00763C18">
        <w:t xml:space="preserve">conclusion that </w:t>
      </w:r>
      <w:r w:rsidR="00DE6F2A" w:rsidRPr="00763C18">
        <w:t xml:space="preserve">it does not empower local criminal court judges to </w:t>
      </w:r>
      <w:r w:rsidR="00D44EAD" w:rsidRPr="00763C18">
        <w:t xml:space="preserve">grant bail or recognizance release to </w:t>
      </w:r>
      <w:r w:rsidR="000D4714" w:rsidRPr="00763C18">
        <w:t xml:space="preserve">two-time convicted felons charged with a felony </w:t>
      </w:r>
      <w:r w:rsidR="00075B96" w:rsidRPr="00763C18">
        <w:t>(whether a qualifying or non-qualifying offense).</w:t>
      </w:r>
    </w:p>
    <w:p w14:paraId="7B4CC92F" w14:textId="74029223" w:rsidR="00B06C53" w:rsidRPr="00763C18" w:rsidRDefault="00B06C53">
      <w:r w:rsidRPr="00763C18">
        <w:t xml:space="preserve">The defendant in </w:t>
      </w:r>
      <w:r w:rsidRPr="00763C18">
        <w:rPr>
          <w:i/>
          <w:iCs/>
        </w:rPr>
        <w:t>Arroyo</w:t>
      </w:r>
      <w:r w:rsidR="002E2FAD" w:rsidRPr="00763C18">
        <w:t xml:space="preserve">, a career </w:t>
      </w:r>
      <w:r w:rsidR="007829D5" w:rsidRPr="00763C18">
        <w:t xml:space="preserve">burglar </w:t>
      </w:r>
      <w:r w:rsidR="00547E59" w:rsidRPr="00763C18">
        <w:t>charged with Burglary 3</w:t>
      </w:r>
      <w:r w:rsidR="001F5A71" w:rsidRPr="00763C18">
        <w:rPr>
          <w:vertAlign w:val="superscript"/>
        </w:rPr>
        <w:t>rd</w:t>
      </w:r>
      <w:r w:rsidR="00547E59" w:rsidRPr="00763C18">
        <w:t xml:space="preserve"> degree, Criminal Mischief</w:t>
      </w:r>
      <w:r w:rsidR="00617EAD" w:rsidRPr="00763C18">
        <w:t xml:space="preserve"> 2</w:t>
      </w:r>
      <w:r w:rsidR="001F5A71" w:rsidRPr="00763C18">
        <w:rPr>
          <w:vertAlign w:val="superscript"/>
        </w:rPr>
        <w:t>nd</w:t>
      </w:r>
      <w:r w:rsidR="00617EAD" w:rsidRPr="00763C18">
        <w:t xml:space="preserve"> degree and Petit Larceny</w:t>
      </w:r>
      <w:r w:rsidR="00D9496B" w:rsidRPr="00763C18">
        <w:t>,</w:t>
      </w:r>
      <w:r w:rsidR="00617EAD" w:rsidRPr="00763C18">
        <w:t xml:space="preserve"> moved in City</w:t>
      </w:r>
      <w:r w:rsidR="007829D5" w:rsidRPr="00763C18">
        <w:t xml:space="preserve"> </w:t>
      </w:r>
      <w:r w:rsidR="00DC540A" w:rsidRPr="00763C18">
        <w:t xml:space="preserve">Court for </w:t>
      </w:r>
      <w:r w:rsidR="00617EAD" w:rsidRPr="00763C18">
        <w:t xml:space="preserve">release </w:t>
      </w:r>
      <w:r w:rsidR="0041247A" w:rsidRPr="00763C18">
        <w:t>on his own recognizance or on non-monetary conditio</w:t>
      </w:r>
      <w:r w:rsidR="00D9496B" w:rsidRPr="00763C18">
        <w:t>n</w:t>
      </w:r>
      <w:r w:rsidR="0006135E" w:rsidRPr="00763C18">
        <w:t>s</w:t>
      </w:r>
      <w:r w:rsidR="006351AE" w:rsidRPr="00763C18">
        <w:t xml:space="preserve">, </w:t>
      </w:r>
      <w:r w:rsidR="0006135E" w:rsidRPr="00763C18">
        <w:t>arguing that CPL 530.20</w:t>
      </w:r>
      <w:r w:rsidR="0064115F" w:rsidRPr="00763C18">
        <w:t xml:space="preserve"> only applies to QUALIFYING OFFENSES as defined in CPL </w:t>
      </w:r>
      <w:r w:rsidR="00354200" w:rsidRPr="00763C18">
        <w:t>530.20(1)(b) and 510.10(4) (</w:t>
      </w:r>
      <w:r w:rsidR="001F5A71" w:rsidRPr="00763C18">
        <w:t>c</w:t>
      </w:r>
      <w:r w:rsidR="00354200" w:rsidRPr="00763C18">
        <w:t xml:space="preserve">iting </w:t>
      </w:r>
      <w:r w:rsidR="00354200" w:rsidRPr="00763C18">
        <w:rPr>
          <w:i/>
          <w:iCs/>
        </w:rPr>
        <w:t>Baxter v Baker</w:t>
      </w:r>
      <w:r w:rsidR="00354200" w:rsidRPr="00763C18">
        <w:t>, supra).</w:t>
      </w:r>
    </w:p>
    <w:p w14:paraId="54C82F05" w14:textId="1A64A217" w:rsidR="00A70CE3" w:rsidRPr="00763C18" w:rsidRDefault="00A70CE3">
      <w:r w:rsidRPr="00763C18">
        <w:t xml:space="preserve">The court </w:t>
      </w:r>
      <w:r w:rsidR="004326BD" w:rsidRPr="00763C18">
        <w:t xml:space="preserve">concluded that the premise </w:t>
      </w:r>
      <w:r w:rsidR="001278DB" w:rsidRPr="00763C18">
        <w:t xml:space="preserve">of the defendant’s argument that the Legislature </w:t>
      </w:r>
      <w:r w:rsidR="00915214" w:rsidRPr="00763C18">
        <w:t xml:space="preserve">inadvertently failed to </w:t>
      </w:r>
      <w:r w:rsidR="00A73118" w:rsidRPr="00763C18">
        <w:t>modify “felony” to “</w:t>
      </w:r>
      <w:r w:rsidR="00C75B33" w:rsidRPr="00763C18">
        <w:t>qualifying felony offense</w:t>
      </w:r>
      <w:r w:rsidR="00F26E53" w:rsidRPr="00763C18">
        <w:t xml:space="preserve">” </w:t>
      </w:r>
      <w:r w:rsidR="00C75B33" w:rsidRPr="00763C18">
        <w:t>when the bail statu</w:t>
      </w:r>
      <w:r w:rsidR="00F26E53" w:rsidRPr="00763C18">
        <w:t>tes</w:t>
      </w:r>
      <w:r w:rsidR="00C75B33" w:rsidRPr="00763C18">
        <w:t xml:space="preserve"> were </w:t>
      </w:r>
      <w:r w:rsidR="00C75B33" w:rsidRPr="00763C18">
        <w:lastRenderedPageBreak/>
        <w:t xml:space="preserve">amended </w:t>
      </w:r>
      <w:r w:rsidR="00F26E53" w:rsidRPr="00763C18">
        <w:t>in 2020 (and again in 2022 and 2023)</w:t>
      </w:r>
      <w:r w:rsidR="004A7809" w:rsidRPr="00763C18">
        <w:t>, is belied by the text and legislative history of CPL 530.20</w:t>
      </w:r>
      <w:r w:rsidR="0067215C" w:rsidRPr="00763C18">
        <w:t>.</w:t>
      </w:r>
    </w:p>
    <w:p w14:paraId="34616849" w14:textId="19F199DB" w:rsidR="006351AE" w:rsidRPr="00763C18" w:rsidRDefault="00032C43">
      <w:r w:rsidRPr="00763C18">
        <w:t>The court noted that</w:t>
      </w:r>
      <w:r w:rsidR="00553CC5" w:rsidRPr="00763C18">
        <w:t xml:space="preserve"> when</w:t>
      </w:r>
      <w:r w:rsidRPr="00763C18">
        <w:t xml:space="preserve"> </w:t>
      </w:r>
      <w:r w:rsidR="00C8043F" w:rsidRPr="00763C18">
        <w:t xml:space="preserve">this statute, originally enacted in 1979, </w:t>
      </w:r>
      <w:r w:rsidR="0067215C" w:rsidRPr="00763C18">
        <w:t xml:space="preserve">was amended in January 2020 </w:t>
      </w:r>
      <w:r w:rsidR="00FB3E53" w:rsidRPr="00763C18">
        <w:t xml:space="preserve">to create the QUALFYING </w:t>
      </w:r>
      <w:r w:rsidR="006E7027" w:rsidRPr="00763C18">
        <w:t xml:space="preserve">and </w:t>
      </w:r>
      <w:r w:rsidR="00FB3E53" w:rsidRPr="00763C18">
        <w:t xml:space="preserve"> NON-QUALIFYING OFFENSE </w:t>
      </w:r>
      <w:r w:rsidR="006E7027" w:rsidRPr="00763C18">
        <w:t xml:space="preserve">release structure, </w:t>
      </w:r>
      <w:r w:rsidR="005B30FF" w:rsidRPr="00763C18">
        <w:t xml:space="preserve">while certain language in </w:t>
      </w:r>
      <w:r w:rsidR="00EF610C" w:rsidRPr="00763C18">
        <w:t>subdivision 2(a)</w:t>
      </w:r>
      <w:r w:rsidR="00184EF6" w:rsidRPr="00763C18">
        <w:t>(ii)</w:t>
      </w:r>
      <w:r w:rsidR="00EF610C" w:rsidRPr="00763C18">
        <w:t xml:space="preserve"> (</w:t>
      </w:r>
      <w:r w:rsidR="00822830" w:rsidRPr="00763C18">
        <w:t xml:space="preserve">to wit: </w:t>
      </w:r>
      <w:r w:rsidR="00575E7D" w:rsidRPr="00763C18">
        <w:t>that the defendant “appears to have” two previous felony convictions</w:t>
      </w:r>
      <w:r w:rsidR="00C62372" w:rsidRPr="00763C18">
        <w:t>) was changed (</w:t>
      </w:r>
      <w:r w:rsidR="00206CA9" w:rsidRPr="00763C18">
        <w:t>to wit: “the defendant “has” t</w:t>
      </w:r>
      <w:r w:rsidR="00184EF6" w:rsidRPr="00763C18">
        <w:t xml:space="preserve">wo </w:t>
      </w:r>
      <w:r w:rsidR="00206CA9" w:rsidRPr="00763C18">
        <w:t xml:space="preserve"> previous felony convictions), </w:t>
      </w:r>
      <w:r w:rsidR="00BE29F3" w:rsidRPr="00763C18">
        <w:t xml:space="preserve">the introductory language of subdivision </w:t>
      </w:r>
      <w:r w:rsidR="00BE4469" w:rsidRPr="00763C18">
        <w:t xml:space="preserve">2 (to wit: “When the defendant is charged by felony complaint with </w:t>
      </w:r>
      <w:r w:rsidR="009442DB" w:rsidRPr="00763C18">
        <w:t>a FELONY,…”) remained the same.</w:t>
      </w:r>
    </w:p>
    <w:p w14:paraId="212F2F1B" w14:textId="3C666B27" w:rsidR="009442DB" w:rsidRPr="00763C18" w:rsidRDefault="007F2BEF">
      <w:r w:rsidRPr="00763C18">
        <w:t>As the court observed</w:t>
      </w:r>
      <w:r w:rsidR="00DE58AF" w:rsidRPr="00763C18">
        <w:t>, “where a statute describes the particular situations in which it is to apply</w:t>
      </w:r>
      <w:r w:rsidR="003A2F87" w:rsidRPr="00763C18">
        <w:t xml:space="preserve">, and no qualifying exception is added, an irrefutable inference </w:t>
      </w:r>
      <w:r w:rsidR="00946C38" w:rsidRPr="00763C18">
        <w:t xml:space="preserve">must be drawn that </w:t>
      </w:r>
      <w:r w:rsidR="00783B15" w:rsidRPr="00763C18">
        <w:t xml:space="preserve">what is omitted or not included was intended to be </w:t>
      </w:r>
      <w:r w:rsidR="00D14423" w:rsidRPr="00763C18">
        <w:t>omitted or excluded</w:t>
      </w:r>
      <w:r w:rsidR="00425AA2" w:rsidRPr="00763C18">
        <w:t>” (</w:t>
      </w:r>
      <w:r w:rsidR="001F5A71" w:rsidRPr="00763C18">
        <w:t>c</w:t>
      </w:r>
      <w:r w:rsidR="00D14423" w:rsidRPr="00763C18">
        <w:t xml:space="preserve">iting </w:t>
      </w:r>
      <w:r w:rsidR="00D14423" w:rsidRPr="00763C18">
        <w:rPr>
          <w:i/>
          <w:iCs/>
        </w:rPr>
        <w:t>Matter of Alonzo M. v NYC Dept of Probation</w:t>
      </w:r>
      <w:r w:rsidR="00D14423" w:rsidRPr="00763C18">
        <w:t xml:space="preserve">, </w:t>
      </w:r>
      <w:r w:rsidR="00E04A00" w:rsidRPr="00763C18">
        <w:t>72 NY2d 662 [1988]).</w:t>
      </w:r>
    </w:p>
    <w:p w14:paraId="1C10F3F1" w14:textId="2267EDBD" w:rsidR="00E04A00" w:rsidRPr="00763C18" w:rsidRDefault="00CD06F5">
      <w:r w:rsidRPr="00763C18">
        <w:t>From its review of the stat</w:t>
      </w:r>
      <w:r w:rsidR="003F1A4E" w:rsidRPr="00763C18">
        <w:t>ute</w:t>
      </w:r>
      <w:r w:rsidRPr="00763C18">
        <w:t xml:space="preserve">, the legislative history and Practice Commentaries to </w:t>
      </w:r>
      <w:r w:rsidR="00E57C3C" w:rsidRPr="00763C18">
        <w:t xml:space="preserve">CPL 530.20, the court was satisfied that </w:t>
      </w:r>
      <w:r w:rsidR="00D33F7D" w:rsidRPr="00763C18">
        <w:t>when a double predicate felon is charged with a felon</w:t>
      </w:r>
      <w:r w:rsidR="00520E95" w:rsidRPr="00763C18">
        <w:t>y (regardless of its status as qualifying or non-qualifying), the local court lacks authori</w:t>
      </w:r>
      <w:r w:rsidR="00EB6A06" w:rsidRPr="00763C18">
        <w:t xml:space="preserve">ty to </w:t>
      </w:r>
      <w:r w:rsidR="00325D3A" w:rsidRPr="00763C18">
        <w:t xml:space="preserve">order bail or </w:t>
      </w:r>
      <w:r w:rsidR="006A60DC" w:rsidRPr="00763C18">
        <w:t>release on recognizance.</w:t>
      </w:r>
    </w:p>
    <w:p w14:paraId="66F78476" w14:textId="29F6F4E4" w:rsidR="00425AA2" w:rsidRPr="00763C18" w:rsidRDefault="00425AA2">
      <w:r w:rsidRPr="00763C18">
        <w:t>FINAL THOUGHT</w:t>
      </w:r>
    </w:p>
    <w:p w14:paraId="4286EBB6" w14:textId="6C34629E" w:rsidR="00425AA2" w:rsidRPr="00763C18" w:rsidRDefault="003F1A4E">
      <w:r w:rsidRPr="00763C18">
        <w:t xml:space="preserve">Unless and until the Fourth Department </w:t>
      </w:r>
      <w:r w:rsidR="00A179D9" w:rsidRPr="00763C18">
        <w:t xml:space="preserve">has an opportunity to resolve the issue, defense </w:t>
      </w:r>
      <w:r w:rsidR="00241883" w:rsidRPr="00763C18">
        <w:t>counsel representing</w:t>
      </w:r>
      <w:r w:rsidR="00283DD4" w:rsidRPr="00763C18">
        <w:t xml:space="preserve"> predicate felony offenders </w:t>
      </w:r>
      <w:r w:rsidR="00116A1C" w:rsidRPr="00763C18">
        <w:t xml:space="preserve">charged by felony complaint with a </w:t>
      </w:r>
      <w:r w:rsidR="006E623E" w:rsidRPr="00763C18">
        <w:t xml:space="preserve">NON-QUALIFYING </w:t>
      </w:r>
      <w:r w:rsidR="00116A1C" w:rsidRPr="00763C18">
        <w:t>felony</w:t>
      </w:r>
      <w:r w:rsidR="006E623E" w:rsidRPr="00763C18">
        <w:t xml:space="preserve"> </w:t>
      </w:r>
      <w:r w:rsidR="009F5D37" w:rsidRPr="00763C18">
        <w:t>offense should</w:t>
      </w:r>
      <w:r w:rsidR="00116A1C" w:rsidRPr="00763C18">
        <w:t xml:space="preserve"> not hesitate to ask the local criminal court to </w:t>
      </w:r>
      <w:r w:rsidR="006E623E" w:rsidRPr="00763C18">
        <w:t xml:space="preserve">release the </w:t>
      </w:r>
      <w:r w:rsidR="00427044" w:rsidRPr="00763C18">
        <w:t xml:space="preserve">client on his/her own recognize or upon non-monetary </w:t>
      </w:r>
      <w:r w:rsidR="00252783" w:rsidRPr="00763C18">
        <w:t xml:space="preserve">conditions, citing </w:t>
      </w:r>
      <w:r w:rsidR="00252783" w:rsidRPr="00763C18">
        <w:rPr>
          <w:i/>
          <w:iCs/>
        </w:rPr>
        <w:t>Bradley v Ba</w:t>
      </w:r>
      <w:r w:rsidR="00AD6DB7" w:rsidRPr="00763C18">
        <w:rPr>
          <w:i/>
          <w:iCs/>
        </w:rPr>
        <w:t>xter</w:t>
      </w:r>
      <w:r w:rsidR="00252783" w:rsidRPr="00763C18">
        <w:t>, supra as persuasive authority.</w:t>
      </w:r>
    </w:p>
    <w:p w14:paraId="5C53CC3F" w14:textId="40299833" w:rsidR="009F5D37" w:rsidRPr="00763C18" w:rsidRDefault="009F5D37">
      <w:r w:rsidRPr="00763C18">
        <w:t xml:space="preserve">While </w:t>
      </w:r>
      <w:r w:rsidRPr="00763C18">
        <w:rPr>
          <w:i/>
          <w:iCs/>
        </w:rPr>
        <w:t>People v Arroyo</w:t>
      </w:r>
      <w:r w:rsidRPr="00763C18">
        <w:t>, supra is n</w:t>
      </w:r>
      <w:r w:rsidR="00DC16BF" w:rsidRPr="00763C18">
        <w:t>ot “</w:t>
      </w:r>
      <w:r w:rsidR="0078650C" w:rsidRPr="00763C18">
        <w:t xml:space="preserve">CONTROLLING legal </w:t>
      </w:r>
      <w:r w:rsidR="00DC16BF" w:rsidRPr="00763C18">
        <w:t>authority</w:t>
      </w:r>
      <w:r w:rsidR="003D6004" w:rsidRPr="00763C18">
        <w:t xml:space="preserve">…directly adverse </w:t>
      </w:r>
      <w:r w:rsidR="00E30578" w:rsidRPr="00763C18">
        <w:t>to the position of the client</w:t>
      </w:r>
      <w:r w:rsidR="00241883" w:rsidRPr="00763C18">
        <w:t xml:space="preserve">” </w:t>
      </w:r>
      <w:r w:rsidR="0078650C" w:rsidRPr="00763C18">
        <w:t xml:space="preserve">that </w:t>
      </w:r>
      <w:r w:rsidR="00F005CA" w:rsidRPr="00763C18">
        <w:t xml:space="preserve">counsel must disclose to the </w:t>
      </w:r>
      <w:r w:rsidR="009A2501" w:rsidRPr="00763C18">
        <w:t>court (</w:t>
      </w:r>
      <w:r w:rsidR="00E30578" w:rsidRPr="00763C18">
        <w:t>NY RPC 3</w:t>
      </w:r>
      <w:r w:rsidR="00880765" w:rsidRPr="00763C18">
        <w:t xml:space="preserve">.3[a][2]), </w:t>
      </w:r>
      <w:r w:rsidR="004323AF" w:rsidRPr="00763C18">
        <w:t xml:space="preserve">it would be wise to do so and point out </w:t>
      </w:r>
      <w:r w:rsidR="002B5DF9" w:rsidRPr="00763C18">
        <w:t xml:space="preserve">that </w:t>
      </w:r>
      <w:r w:rsidR="000737D1" w:rsidRPr="00763C18">
        <w:t xml:space="preserve">a Supreme Court decision should carry more persuasive weight than that of </w:t>
      </w:r>
      <w:r w:rsidR="002847FD" w:rsidRPr="00763C18">
        <w:t xml:space="preserve">a local criminal court. </w:t>
      </w:r>
    </w:p>
    <w:p w14:paraId="7234D8F5" w14:textId="18635D7B" w:rsidR="002847FD" w:rsidRPr="00763C18" w:rsidRDefault="002847FD">
      <w:r w:rsidRPr="00763C18">
        <w:t xml:space="preserve">If the local court </w:t>
      </w:r>
      <w:r w:rsidR="0078650C" w:rsidRPr="00763C18">
        <w:t xml:space="preserve">does not </w:t>
      </w:r>
      <w:r w:rsidR="007C0782" w:rsidRPr="00763C18">
        <w:t xml:space="preserve">deem itself bound by </w:t>
      </w:r>
      <w:r w:rsidR="007C0782" w:rsidRPr="00763C18">
        <w:rPr>
          <w:i/>
          <w:iCs/>
        </w:rPr>
        <w:t>Baxter,</w:t>
      </w:r>
      <w:r w:rsidR="007C0782" w:rsidRPr="00763C18">
        <w:t xml:space="preserve"> then counsel should beat a hasty path to </w:t>
      </w:r>
      <w:r w:rsidR="009A2501" w:rsidRPr="00763C18">
        <w:t xml:space="preserve">superior court </w:t>
      </w:r>
      <w:r w:rsidR="00882A77" w:rsidRPr="00763C18">
        <w:t xml:space="preserve">and move for the </w:t>
      </w:r>
      <w:r w:rsidR="001D5E0D" w:rsidRPr="00763C18">
        <w:t>appropriate release.</w:t>
      </w:r>
    </w:p>
    <w:p w14:paraId="75D7B3A1" w14:textId="77777777" w:rsidR="00C06707" w:rsidRPr="00763C18" w:rsidRDefault="00C06707"/>
    <w:p w14:paraId="4D791C87" w14:textId="77815DCC" w:rsidR="00C06707" w:rsidRDefault="00C06707">
      <w:r w:rsidRPr="00763C18">
        <w:t xml:space="preserve">Thank you to Frank Longo Esq for </w:t>
      </w:r>
      <w:r w:rsidR="00C672A6" w:rsidRPr="00763C18">
        <w:t xml:space="preserve">providing </w:t>
      </w:r>
      <w:r w:rsidR="00AD6DB7" w:rsidRPr="00763C18">
        <w:rPr>
          <w:i/>
          <w:iCs/>
        </w:rPr>
        <w:t>Bradly v Baxter</w:t>
      </w:r>
      <w:r w:rsidR="00AD6DB7" w:rsidRPr="00763C18">
        <w:t>.</w:t>
      </w:r>
      <w:r w:rsidR="00AD6DB7">
        <w:t xml:space="preserve"> </w:t>
      </w:r>
    </w:p>
    <w:p w14:paraId="73BBC4CB" w14:textId="77777777" w:rsidR="00252783" w:rsidRDefault="00252783"/>
    <w:p w14:paraId="0389C88D" w14:textId="77777777" w:rsidR="006A60DC" w:rsidRDefault="006A60DC"/>
    <w:p w14:paraId="599243D8" w14:textId="77777777" w:rsidR="005A72B4" w:rsidRDefault="005A72B4"/>
    <w:p w14:paraId="0F171CE9" w14:textId="77777777" w:rsidR="00BC62F5" w:rsidRDefault="00BC62F5"/>
    <w:p w14:paraId="16F60F7E" w14:textId="77777777" w:rsidR="002135B0" w:rsidRDefault="002135B0"/>
    <w:p w14:paraId="6E2FF35F" w14:textId="77777777" w:rsidR="005D3812" w:rsidRDefault="005D3812"/>
    <w:p w14:paraId="485035F2" w14:textId="77777777" w:rsidR="006E7386" w:rsidRDefault="006E7386"/>
    <w:p w14:paraId="50E83296" w14:textId="77777777" w:rsidR="006E7386" w:rsidRDefault="006E7386"/>
    <w:sectPr w:rsidR="006E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86"/>
    <w:rsid w:val="00004B7D"/>
    <w:rsid w:val="000212E0"/>
    <w:rsid w:val="00024AFC"/>
    <w:rsid w:val="00027B77"/>
    <w:rsid w:val="00032C43"/>
    <w:rsid w:val="00034767"/>
    <w:rsid w:val="0003659D"/>
    <w:rsid w:val="00041B19"/>
    <w:rsid w:val="0005199D"/>
    <w:rsid w:val="0006135E"/>
    <w:rsid w:val="00061F86"/>
    <w:rsid w:val="00071380"/>
    <w:rsid w:val="000737D1"/>
    <w:rsid w:val="00075B96"/>
    <w:rsid w:val="00077F84"/>
    <w:rsid w:val="000C1313"/>
    <w:rsid w:val="000D4714"/>
    <w:rsid w:val="000F7390"/>
    <w:rsid w:val="000F7AAF"/>
    <w:rsid w:val="000F7EFE"/>
    <w:rsid w:val="0010638B"/>
    <w:rsid w:val="00115A18"/>
    <w:rsid w:val="00116A1C"/>
    <w:rsid w:val="001278DB"/>
    <w:rsid w:val="001324B5"/>
    <w:rsid w:val="00132C23"/>
    <w:rsid w:val="0013632A"/>
    <w:rsid w:val="001537DC"/>
    <w:rsid w:val="001552B8"/>
    <w:rsid w:val="001561C9"/>
    <w:rsid w:val="00164B13"/>
    <w:rsid w:val="001661F5"/>
    <w:rsid w:val="00177360"/>
    <w:rsid w:val="0017761A"/>
    <w:rsid w:val="00184EF6"/>
    <w:rsid w:val="00196E2F"/>
    <w:rsid w:val="001977F3"/>
    <w:rsid w:val="001B4693"/>
    <w:rsid w:val="001B5CC6"/>
    <w:rsid w:val="001C59DB"/>
    <w:rsid w:val="001D316C"/>
    <w:rsid w:val="001D5E0D"/>
    <w:rsid w:val="001D6BF8"/>
    <w:rsid w:val="001F5A71"/>
    <w:rsid w:val="00206600"/>
    <w:rsid w:val="00206CA9"/>
    <w:rsid w:val="00210C74"/>
    <w:rsid w:val="00211B95"/>
    <w:rsid w:val="002135B0"/>
    <w:rsid w:val="00213C40"/>
    <w:rsid w:val="00216949"/>
    <w:rsid w:val="00221AE7"/>
    <w:rsid w:val="00241883"/>
    <w:rsid w:val="00241F84"/>
    <w:rsid w:val="0024719E"/>
    <w:rsid w:val="0024793D"/>
    <w:rsid w:val="00252783"/>
    <w:rsid w:val="002763CF"/>
    <w:rsid w:val="00283DD4"/>
    <w:rsid w:val="002847FD"/>
    <w:rsid w:val="00290EF5"/>
    <w:rsid w:val="002935C0"/>
    <w:rsid w:val="002A66D7"/>
    <w:rsid w:val="002B07BA"/>
    <w:rsid w:val="002B5A94"/>
    <w:rsid w:val="002B5DF9"/>
    <w:rsid w:val="002C0209"/>
    <w:rsid w:val="002C4940"/>
    <w:rsid w:val="002E168D"/>
    <w:rsid w:val="002E219A"/>
    <w:rsid w:val="002E2FAD"/>
    <w:rsid w:val="002E3F8E"/>
    <w:rsid w:val="002F2D6B"/>
    <w:rsid w:val="003059AB"/>
    <w:rsid w:val="00310AB2"/>
    <w:rsid w:val="00313C79"/>
    <w:rsid w:val="003178B1"/>
    <w:rsid w:val="0032057A"/>
    <w:rsid w:val="00325D3A"/>
    <w:rsid w:val="00353F02"/>
    <w:rsid w:val="00354200"/>
    <w:rsid w:val="00354375"/>
    <w:rsid w:val="00355DB8"/>
    <w:rsid w:val="00361EBF"/>
    <w:rsid w:val="003801B9"/>
    <w:rsid w:val="00385BEA"/>
    <w:rsid w:val="003927B3"/>
    <w:rsid w:val="003A1096"/>
    <w:rsid w:val="003A2F87"/>
    <w:rsid w:val="003B23A6"/>
    <w:rsid w:val="003D1F5C"/>
    <w:rsid w:val="003D6004"/>
    <w:rsid w:val="003D790A"/>
    <w:rsid w:val="003F1A4E"/>
    <w:rsid w:val="003F7A36"/>
    <w:rsid w:val="00406802"/>
    <w:rsid w:val="0041247A"/>
    <w:rsid w:val="00412A4E"/>
    <w:rsid w:val="0042193E"/>
    <w:rsid w:val="00425AA2"/>
    <w:rsid w:val="00427044"/>
    <w:rsid w:val="0042734D"/>
    <w:rsid w:val="004323AF"/>
    <w:rsid w:val="004326BD"/>
    <w:rsid w:val="00445357"/>
    <w:rsid w:val="00450431"/>
    <w:rsid w:val="00475A75"/>
    <w:rsid w:val="00480D7A"/>
    <w:rsid w:val="004907E3"/>
    <w:rsid w:val="00493732"/>
    <w:rsid w:val="00495FC2"/>
    <w:rsid w:val="004A2731"/>
    <w:rsid w:val="004A46D3"/>
    <w:rsid w:val="004A7809"/>
    <w:rsid w:val="004B2FE1"/>
    <w:rsid w:val="004B3BB3"/>
    <w:rsid w:val="004C1E81"/>
    <w:rsid w:val="004C5E0B"/>
    <w:rsid w:val="005004D2"/>
    <w:rsid w:val="005055C3"/>
    <w:rsid w:val="00506288"/>
    <w:rsid w:val="00510F12"/>
    <w:rsid w:val="00520E95"/>
    <w:rsid w:val="00524CCE"/>
    <w:rsid w:val="00540B2F"/>
    <w:rsid w:val="00547E59"/>
    <w:rsid w:val="00553CC5"/>
    <w:rsid w:val="00554BC1"/>
    <w:rsid w:val="00556566"/>
    <w:rsid w:val="00564114"/>
    <w:rsid w:val="00575E7D"/>
    <w:rsid w:val="00591BB8"/>
    <w:rsid w:val="005A5E38"/>
    <w:rsid w:val="005A67F8"/>
    <w:rsid w:val="005A72B4"/>
    <w:rsid w:val="005B30FF"/>
    <w:rsid w:val="005B3B5E"/>
    <w:rsid w:val="005B53CE"/>
    <w:rsid w:val="005D33D9"/>
    <w:rsid w:val="005D3812"/>
    <w:rsid w:val="005E33E5"/>
    <w:rsid w:val="005F099D"/>
    <w:rsid w:val="006104A1"/>
    <w:rsid w:val="006139AE"/>
    <w:rsid w:val="00617EAD"/>
    <w:rsid w:val="00621026"/>
    <w:rsid w:val="006351AE"/>
    <w:rsid w:val="0064115F"/>
    <w:rsid w:val="0067215C"/>
    <w:rsid w:val="006814CA"/>
    <w:rsid w:val="00683958"/>
    <w:rsid w:val="00692ED7"/>
    <w:rsid w:val="006A2144"/>
    <w:rsid w:val="006A60DC"/>
    <w:rsid w:val="006C796C"/>
    <w:rsid w:val="006D5474"/>
    <w:rsid w:val="006E42D7"/>
    <w:rsid w:val="006E623E"/>
    <w:rsid w:val="006E7027"/>
    <w:rsid w:val="006E7386"/>
    <w:rsid w:val="006F3542"/>
    <w:rsid w:val="006F6F39"/>
    <w:rsid w:val="00703DD7"/>
    <w:rsid w:val="00715F32"/>
    <w:rsid w:val="007168EB"/>
    <w:rsid w:val="007418E6"/>
    <w:rsid w:val="00750FE5"/>
    <w:rsid w:val="0075665C"/>
    <w:rsid w:val="00763C18"/>
    <w:rsid w:val="00772164"/>
    <w:rsid w:val="007752E1"/>
    <w:rsid w:val="007829D5"/>
    <w:rsid w:val="00783B15"/>
    <w:rsid w:val="0078650C"/>
    <w:rsid w:val="0079082A"/>
    <w:rsid w:val="0079245D"/>
    <w:rsid w:val="00794AC4"/>
    <w:rsid w:val="007C0782"/>
    <w:rsid w:val="007C21D2"/>
    <w:rsid w:val="007D4997"/>
    <w:rsid w:val="007E2F08"/>
    <w:rsid w:val="007F1FAC"/>
    <w:rsid w:val="007F2BEF"/>
    <w:rsid w:val="00822830"/>
    <w:rsid w:val="008302B3"/>
    <w:rsid w:val="00832C41"/>
    <w:rsid w:val="008341ED"/>
    <w:rsid w:val="008443EF"/>
    <w:rsid w:val="00861FE8"/>
    <w:rsid w:val="00880765"/>
    <w:rsid w:val="00881135"/>
    <w:rsid w:val="00882A77"/>
    <w:rsid w:val="00884661"/>
    <w:rsid w:val="008853E7"/>
    <w:rsid w:val="00886A85"/>
    <w:rsid w:val="00892E01"/>
    <w:rsid w:val="00895EF2"/>
    <w:rsid w:val="00896E86"/>
    <w:rsid w:val="008976EA"/>
    <w:rsid w:val="008A56D5"/>
    <w:rsid w:val="008B3E82"/>
    <w:rsid w:val="008B577B"/>
    <w:rsid w:val="008B5E94"/>
    <w:rsid w:val="008B7B49"/>
    <w:rsid w:val="008C7EC3"/>
    <w:rsid w:val="008E49AA"/>
    <w:rsid w:val="008E6F76"/>
    <w:rsid w:val="008F2BB6"/>
    <w:rsid w:val="008F3B58"/>
    <w:rsid w:val="008F7836"/>
    <w:rsid w:val="00907A61"/>
    <w:rsid w:val="00915214"/>
    <w:rsid w:val="00935557"/>
    <w:rsid w:val="009442DB"/>
    <w:rsid w:val="009462B8"/>
    <w:rsid w:val="00946C38"/>
    <w:rsid w:val="00962670"/>
    <w:rsid w:val="009661B7"/>
    <w:rsid w:val="00980602"/>
    <w:rsid w:val="00982EF7"/>
    <w:rsid w:val="009978E4"/>
    <w:rsid w:val="009A00F5"/>
    <w:rsid w:val="009A2501"/>
    <w:rsid w:val="009A3E7F"/>
    <w:rsid w:val="009B4D70"/>
    <w:rsid w:val="009C0C88"/>
    <w:rsid w:val="009D7C84"/>
    <w:rsid w:val="009F5D37"/>
    <w:rsid w:val="00A00C73"/>
    <w:rsid w:val="00A03A71"/>
    <w:rsid w:val="00A03C95"/>
    <w:rsid w:val="00A125C2"/>
    <w:rsid w:val="00A179D9"/>
    <w:rsid w:val="00A235C9"/>
    <w:rsid w:val="00A53F2D"/>
    <w:rsid w:val="00A545CD"/>
    <w:rsid w:val="00A65F38"/>
    <w:rsid w:val="00A7000D"/>
    <w:rsid w:val="00A70CE3"/>
    <w:rsid w:val="00A73118"/>
    <w:rsid w:val="00A73D47"/>
    <w:rsid w:val="00A831FD"/>
    <w:rsid w:val="00A85701"/>
    <w:rsid w:val="00A90292"/>
    <w:rsid w:val="00AA57CC"/>
    <w:rsid w:val="00AA6DB8"/>
    <w:rsid w:val="00AA741A"/>
    <w:rsid w:val="00AD1279"/>
    <w:rsid w:val="00AD6DB7"/>
    <w:rsid w:val="00AF075D"/>
    <w:rsid w:val="00AF0F6F"/>
    <w:rsid w:val="00AF2FF0"/>
    <w:rsid w:val="00B02B07"/>
    <w:rsid w:val="00B06C53"/>
    <w:rsid w:val="00B273A3"/>
    <w:rsid w:val="00B34CEA"/>
    <w:rsid w:val="00B67DB8"/>
    <w:rsid w:val="00B709AC"/>
    <w:rsid w:val="00B71D85"/>
    <w:rsid w:val="00B8624C"/>
    <w:rsid w:val="00B946F8"/>
    <w:rsid w:val="00BA2BCD"/>
    <w:rsid w:val="00BB328A"/>
    <w:rsid w:val="00BB5D64"/>
    <w:rsid w:val="00BB6C4A"/>
    <w:rsid w:val="00BC31F0"/>
    <w:rsid w:val="00BC3CF9"/>
    <w:rsid w:val="00BC62F5"/>
    <w:rsid w:val="00BD127D"/>
    <w:rsid w:val="00BD1C63"/>
    <w:rsid w:val="00BE1894"/>
    <w:rsid w:val="00BE29F3"/>
    <w:rsid w:val="00BE4469"/>
    <w:rsid w:val="00BE6F84"/>
    <w:rsid w:val="00C04FD6"/>
    <w:rsid w:val="00C06707"/>
    <w:rsid w:val="00C21E38"/>
    <w:rsid w:val="00C325F7"/>
    <w:rsid w:val="00C52196"/>
    <w:rsid w:val="00C5757D"/>
    <w:rsid w:val="00C62372"/>
    <w:rsid w:val="00C64E3C"/>
    <w:rsid w:val="00C672A6"/>
    <w:rsid w:val="00C7479C"/>
    <w:rsid w:val="00C75B33"/>
    <w:rsid w:val="00C7683F"/>
    <w:rsid w:val="00C8043F"/>
    <w:rsid w:val="00C80D9E"/>
    <w:rsid w:val="00C82A81"/>
    <w:rsid w:val="00CB0BD7"/>
    <w:rsid w:val="00CB6E8B"/>
    <w:rsid w:val="00CB785D"/>
    <w:rsid w:val="00CC396E"/>
    <w:rsid w:val="00CC6588"/>
    <w:rsid w:val="00CC68B3"/>
    <w:rsid w:val="00CC6DD9"/>
    <w:rsid w:val="00CD06F5"/>
    <w:rsid w:val="00CE3116"/>
    <w:rsid w:val="00CF7C0A"/>
    <w:rsid w:val="00D11C5D"/>
    <w:rsid w:val="00D14273"/>
    <w:rsid w:val="00D14423"/>
    <w:rsid w:val="00D155F0"/>
    <w:rsid w:val="00D204D6"/>
    <w:rsid w:val="00D20832"/>
    <w:rsid w:val="00D22270"/>
    <w:rsid w:val="00D26EB9"/>
    <w:rsid w:val="00D33F7D"/>
    <w:rsid w:val="00D364E9"/>
    <w:rsid w:val="00D42D4C"/>
    <w:rsid w:val="00D44EAD"/>
    <w:rsid w:val="00D55478"/>
    <w:rsid w:val="00D62699"/>
    <w:rsid w:val="00D6764E"/>
    <w:rsid w:val="00D700BA"/>
    <w:rsid w:val="00D914BE"/>
    <w:rsid w:val="00D9496B"/>
    <w:rsid w:val="00D97685"/>
    <w:rsid w:val="00DC16BF"/>
    <w:rsid w:val="00DC540A"/>
    <w:rsid w:val="00DD2AEF"/>
    <w:rsid w:val="00DE413F"/>
    <w:rsid w:val="00DE58AF"/>
    <w:rsid w:val="00DE6F2A"/>
    <w:rsid w:val="00DF0569"/>
    <w:rsid w:val="00DF0716"/>
    <w:rsid w:val="00DF6015"/>
    <w:rsid w:val="00DF7DA6"/>
    <w:rsid w:val="00E015E5"/>
    <w:rsid w:val="00E04A00"/>
    <w:rsid w:val="00E12950"/>
    <w:rsid w:val="00E13C6A"/>
    <w:rsid w:val="00E17315"/>
    <w:rsid w:val="00E21263"/>
    <w:rsid w:val="00E222EB"/>
    <w:rsid w:val="00E30578"/>
    <w:rsid w:val="00E319B5"/>
    <w:rsid w:val="00E5585E"/>
    <w:rsid w:val="00E57C3C"/>
    <w:rsid w:val="00E609E8"/>
    <w:rsid w:val="00E65D70"/>
    <w:rsid w:val="00E704F8"/>
    <w:rsid w:val="00E76587"/>
    <w:rsid w:val="00E87B89"/>
    <w:rsid w:val="00EB6A06"/>
    <w:rsid w:val="00EC5AE1"/>
    <w:rsid w:val="00EE0F4C"/>
    <w:rsid w:val="00EE7C4E"/>
    <w:rsid w:val="00EF3AEC"/>
    <w:rsid w:val="00EF610C"/>
    <w:rsid w:val="00F005CA"/>
    <w:rsid w:val="00F043FF"/>
    <w:rsid w:val="00F05550"/>
    <w:rsid w:val="00F23F51"/>
    <w:rsid w:val="00F26E53"/>
    <w:rsid w:val="00F32FF3"/>
    <w:rsid w:val="00F52AB7"/>
    <w:rsid w:val="00F61268"/>
    <w:rsid w:val="00F639BD"/>
    <w:rsid w:val="00F73214"/>
    <w:rsid w:val="00F82787"/>
    <w:rsid w:val="00F85BDB"/>
    <w:rsid w:val="00F9013F"/>
    <w:rsid w:val="00F96B6C"/>
    <w:rsid w:val="00FA225E"/>
    <w:rsid w:val="00FA3DFB"/>
    <w:rsid w:val="00FA6224"/>
    <w:rsid w:val="00FB07F2"/>
    <w:rsid w:val="00FB3E53"/>
    <w:rsid w:val="00FD4374"/>
    <w:rsid w:val="00FF314E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9457"/>
  <w15:chartTrackingRefBased/>
  <w15:docId w15:val="{A16891E2-913C-45B7-87FD-743609E3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3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3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3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3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3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3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7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7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7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7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73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73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73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3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73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Franczyk</dc:creator>
  <cp:keywords/>
  <dc:description/>
  <cp:lastModifiedBy>Matthew  Powers</cp:lastModifiedBy>
  <cp:revision>2</cp:revision>
  <dcterms:created xsi:type="dcterms:W3CDTF">2024-03-28T13:49:00Z</dcterms:created>
  <dcterms:modified xsi:type="dcterms:W3CDTF">2024-03-28T13:49:00Z</dcterms:modified>
</cp:coreProperties>
</file>