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4B8D63" w14:textId="739936F8" w:rsidR="00D03A6A" w:rsidRDefault="00D03A6A" w:rsidP="00D03A6A">
      <w:pPr>
        <w:jc w:val="center"/>
        <w:rPr>
          <w:rFonts w:cstheme="minorHAnsi"/>
          <w:b/>
          <w:bCs/>
          <w:sz w:val="24"/>
          <w:szCs w:val="24"/>
        </w:rPr>
      </w:pPr>
      <w:r>
        <w:rPr>
          <w:rFonts w:cstheme="minorHAnsi"/>
          <w:b/>
          <w:bCs/>
          <w:sz w:val="24"/>
          <w:szCs w:val="24"/>
        </w:rPr>
        <w:t xml:space="preserve">Combating the Suggestiveness of First-Time, In-Court Identification with </w:t>
      </w:r>
      <w:r w:rsidRPr="00D03A6A">
        <w:rPr>
          <w:rFonts w:cstheme="minorHAnsi"/>
          <w:b/>
          <w:bCs/>
          <w:i/>
          <w:iCs/>
          <w:sz w:val="24"/>
          <w:szCs w:val="24"/>
        </w:rPr>
        <w:t>People v Perdue</w:t>
      </w:r>
      <w:r>
        <w:rPr>
          <w:rFonts w:cstheme="minorHAnsi"/>
          <w:b/>
          <w:bCs/>
          <w:sz w:val="24"/>
          <w:szCs w:val="24"/>
        </w:rPr>
        <w:t>.</w:t>
      </w:r>
    </w:p>
    <w:p w14:paraId="4C985FC0" w14:textId="3BC9A1A8" w:rsidR="00D03A6A" w:rsidRPr="001E7F89" w:rsidRDefault="00D03A6A" w:rsidP="00D03A6A">
      <w:pPr>
        <w:rPr>
          <w:rFonts w:cstheme="minorHAnsi"/>
          <w:sz w:val="24"/>
          <w:szCs w:val="24"/>
        </w:rPr>
      </w:pPr>
      <w:r w:rsidRPr="001E7F89">
        <w:rPr>
          <w:rFonts w:cstheme="minorHAnsi"/>
          <w:sz w:val="24"/>
          <w:szCs w:val="24"/>
        </w:rPr>
        <w:t>Matthew B. Powers</w:t>
      </w:r>
    </w:p>
    <w:p w14:paraId="582475C8" w14:textId="09C74FAE" w:rsidR="0058282F" w:rsidRPr="001E7F89" w:rsidRDefault="00D03A6A" w:rsidP="00D03A6A">
      <w:pPr>
        <w:rPr>
          <w:rFonts w:cstheme="minorHAnsi"/>
          <w:sz w:val="24"/>
          <w:szCs w:val="24"/>
        </w:rPr>
      </w:pPr>
      <w:r w:rsidRPr="001E7F89">
        <w:rPr>
          <w:rFonts w:cstheme="minorHAnsi"/>
          <w:sz w:val="24"/>
          <w:szCs w:val="24"/>
        </w:rPr>
        <w:t>Assigned Counsel Program</w:t>
      </w:r>
    </w:p>
    <w:p w14:paraId="2A6B037A" w14:textId="77777777" w:rsidR="00D03A6A" w:rsidRPr="001E7F89" w:rsidRDefault="00D03A6A" w:rsidP="00D03A6A">
      <w:pPr>
        <w:rPr>
          <w:rFonts w:cstheme="minorHAnsi"/>
          <w:sz w:val="24"/>
          <w:szCs w:val="24"/>
        </w:rPr>
      </w:pPr>
      <w:r w:rsidRPr="001E7F89">
        <w:rPr>
          <w:rFonts w:cstheme="minorHAnsi"/>
          <w:sz w:val="24"/>
          <w:szCs w:val="24"/>
        </w:rPr>
        <w:t>Deputy for Legal Education and Training</w:t>
      </w:r>
    </w:p>
    <w:p w14:paraId="77DD1818" w14:textId="58468DAB" w:rsidR="00D03A6A" w:rsidRPr="00D03A6A" w:rsidRDefault="00D03A6A" w:rsidP="00D03A6A">
      <w:pPr>
        <w:rPr>
          <w:rFonts w:cstheme="minorHAnsi"/>
          <w:sz w:val="24"/>
          <w:szCs w:val="24"/>
        </w:rPr>
      </w:pPr>
      <w:r>
        <w:rPr>
          <w:rFonts w:cstheme="minorHAnsi"/>
          <w:sz w:val="24"/>
          <w:szCs w:val="24"/>
        </w:rPr>
        <w:t>January</w:t>
      </w:r>
      <w:r w:rsidRPr="001E7F89">
        <w:rPr>
          <w:rFonts w:cstheme="minorHAnsi"/>
          <w:sz w:val="24"/>
          <w:szCs w:val="24"/>
        </w:rPr>
        <w:t xml:space="preserve"> 202</w:t>
      </w:r>
      <w:r>
        <w:rPr>
          <w:rFonts w:cstheme="minorHAnsi"/>
          <w:sz w:val="24"/>
          <w:szCs w:val="24"/>
        </w:rPr>
        <w:t>4</w:t>
      </w:r>
    </w:p>
    <w:p w14:paraId="6A499A5A" w14:textId="5305363E" w:rsidR="00110EFB" w:rsidRPr="00D03A6A" w:rsidRDefault="00D53274" w:rsidP="00110EFB">
      <w:pPr>
        <w:pStyle w:val="NormalWeb"/>
        <w:shd w:val="clear" w:color="auto" w:fill="FFFFFF"/>
        <w:spacing w:before="0" w:after="0"/>
        <w:textAlignment w:val="baseline"/>
        <w:rPr>
          <w:rFonts w:asciiTheme="minorHAnsi" w:hAnsiTheme="minorHAnsi" w:cstheme="minorHAnsi"/>
          <w:color w:val="000000"/>
          <w:bdr w:val="none" w:sz="0" w:space="0" w:color="auto" w:frame="1"/>
        </w:rPr>
      </w:pPr>
      <w:r w:rsidRPr="00D03A6A">
        <w:rPr>
          <w:rFonts w:asciiTheme="minorHAnsi" w:hAnsiTheme="minorHAnsi" w:cstheme="minorHAnsi"/>
          <w:color w:val="000000"/>
          <w:bdr w:val="none" w:sz="0" w:space="0" w:color="auto" w:frame="1"/>
        </w:rPr>
        <w:t>On December</w:t>
      </w:r>
      <w:r w:rsidR="00110EFB" w:rsidRPr="00D03A6A">
        <w:rPr>
          <w:rFonts w:asciiTheme="minorHAnsi" w:hAnsiTheme="minorHAnsi" w:cstheme="minorHAnsi"/>
          <w:color w:val="000000"/>
          <w:bdr w:val="none" w:sz="0" w:space="0" w:color="auto" w:frame="1"/>
        </w:rPr>
        <w:t xml:space="preserve"> 14, 2023, the Court of Appeals decided </w:t>
      </w:r>
      <w:r w:rsidR="00110EFB" w:rsidRPr="00D03A6A">
        <w:rPr>
          <w:rFonts w:asciiTheme="minorHAnsi" w:hAnsiTheme="minorHAnsi" w:cstheme="minorHAnsi"/>
          <w:i/>
          <w:iCs/>
          <w:color w:val="000000"/>
          <w:bdr w:val="none" w:sz="0" w:space="0" w:color="auto" w:frame="1"/>
        </w:rPr>
        <w:t>People v </w:t>
      </w:r>
      <w:r w:rsidR="00110EFB" w:rsidRPr="00D03A6A">
        <w:rPr>
          <w:rStyle w:val="markx5nt7gg0u"/>
          <w:rFonts w:asciiTheme="minorHAnsi" w:hAnsiTheme="minorHAnsi" w:cstheme="minorHAnsi"/>
          <w:i/>
          <w:iCs/>
          <w:color w:val="000000"/>
          <w:bdr w:val="none" w:sz="0" w:space="0" w:color="auto" w:frame="1"/>
        </w:rPr>
        <w:t>Perdue</w:t>
      </w:r>
      <w:r w:rsidR="00110EFB" w:rsidRPr="00D03A6A">
        <w:rPr>
          <w:rFonts w:asciiTheme="minorHAnsi" w:hAnsiTheme="minorHAnsi" w:cstheme="minorHAnsi"/>
          <w:color w:val="000000"/>
          <w:bdr w:val="none" w:sz="0" w:space="0" w:color="auto" w:frame="1"/>
        </w:rPr>
        <w:t> (_NY3d_</w:t>
      </w:r>
      <w:r w:rsidR="003B2F48">
        <w:rPr>
          <w:rFonts w:asciiTheme="minorHAnsi" w:hAnsiTheme="minorHAnsi" w:cstheme="minorHAnsi"/>
          <w:color w:val="000000"/>
          <w:bdr w:val="none" w:sz="0" w:space="0" w:color="auto" w:frame="1"/>
        </w:rPr>
        <w:t>, 2023 NY Slip Op 06404</w:t>
      </w:r>
      <w:r w:rsidR="00110EFB" w:rsidRPr="00D03A6A">
        <w:rPr>
          <w:rFonts w:asciiTheme="minorHAnsi" w:hAnsiTheme="minorHAnsi" w:cstheme="minorHAnsi"/>
          <w:color w:val="000000"/>
          <w:bdr w:val="none" w:sz="0" w:space="0" w:color="auto" w:frame="1"/>
        </w:rPr>
        <w:t xml:space="preserve"> [2023]). The case represents a major development concerning </w:t>
      </w:r>
      <w:r w:rsidR="00110EFB" w:rsidRPr="00D03A6A">
        <w:rPr>
          <w:rFonts w:asciiTheme="minorHAnsi" w:hAnsiTheme="minorHAnsi" w:cstheme="minorHAnsi"/>
          <w:i/>
          <w:iCs/>
          <w:color w:val="000000"/>
          <w:bdr w:val="none" w:sz="0" w:space="0" w:color="auto" w:frame="1"/>
        </w:rPr>
        <w:t>in-court identification</w:t>
      </w:r>
      <w:r w:rsidR="009014D5">
        <w:rPr>
          <w:rFonts w:asciiTheme="minorHAnsi" w:hAnsiTheme="minorHAnsi" w:cstheme="minorHAnsi"/>
          <w:i/>
          <w:iCs/>
          <w:color w:val="000000"/>
          <w:bdr w:val="none" w:sz="0" w:space="0" w:color="auto" w:frame="1"/>
        </w:rPr>
        <w:t>s</w:t>
      </w:r>
      <w:r w:rsidR="00110EFB" w:rsidRPr="00D03A6A">
        <w:rPr>
          <w:rFonts w:asciiTheme="minorHAnsi" w:hAnsiTheme="minorHAnsi" w:cstheme="minorHAnsi"/>
          <w:color w:val="000000"/>
          <w:bdr w:val="none" w:sz="0" w:space="0" w:color="auto" w:frame="1"/>
        </w:rPr>
        <w:t xml:space="preserve"> and </w:t>
      </w:r>
      <w:r w:rsidR="009014D5">
        <w:rPr>
          <w:rFonts w:asciiTheme="minorHAnsi" w:hAnsiTheme="minorHAnsi" w:cstheme="minorHAnsi"/>
          <w:color w:val="000000"/>
          <w:bdr w:val="none" w:sz="0" w:space="0" w:color="auto" w:frame="1"/>
        </w:rPr>
        <w:t xml:space="preserve">the </w:t>
      </w:r>
      <w:r w:rsidRPr="00D03A6A">
        <w:rPr>
          <w:rFonts w:asciiTheme="minorHAnsi" w:hAnsiTheme="minorHAnsi" w:cstheme="minorHAnsi"/>
          <w:color w:val="000000"/>
          <w:bdr w:val="none" w:sz="0" w:space="0" w:color="auto" w:frame="1"/>
        </w:rPr>
        <w:t>methods for combating their</w:t>
      </w:r>
      <w:r w:rsidR="00110EFB" w:rsidRPr="00D03A6A">
        <w:rPr>
          <w:rFonts w:asciiTheme="minorHAnsi" w:hAnsiTheme="minorHAnsi" w:cstheme="minorHAnsi"/>
          <w:color w:val="000000"/>
          <w:bdr w:val="none" w:sz="0" w:space="0" w:color="auto" w:frame="1"/>
        </w:rPr>
        <w:t xml:space="preserve"> potential suggestiveness. </w:t>
      </w:r>
    </w:p>
    <w:p w14:paraId="0DAE82E3" w14:textId="2571E267" w:rsidR="008A6CF2" w:rsidRPr="00D03A6A" w:rsidRDefault="008A6CF2" w:rsidP="00110EFB">
      <w:pPr>
        <w:pStyle w:val="NormalWeb"/>
        <w:shd w:val="clear" w:color="auto" w:fill="FFFFFF"/>
        <w:spacing w:before="0" w:after="0"/>
        <w:textAlignment w:val="baseline"/>
        <w:rPr>
          <w:rFonts w:asciiTheme="minorHAnsi" w:hAnsiTheme="minorHAnsi" w:cstheme="minorHAnsi"/>
          <w:b/>
          <w:bCs/>
          <w:color w:val="000000"/>
          <w:bdr w:val="none" w:sz="0" w:space="0" w:color="auto" w:frame="1"/>
        </w:rPr>
      </w:pPr>
      <w:r w:rsidRPr="00D03A6A">
        <w:rPr>
          <w:rFonts w:asciiTheme="minorHAnsi" w:hAnsiTheme="minorHAnsi" w:cstheme="minorHAnsi"/>
          <w:b/>
          <w:bCs/>
          <w:color w:val="000000"/>
          <w:bdr w:val="none" w:sz="0" w:space="0" w:color="auto" w:frame="1"/>
        </w:rPr>
        <w:t>Background.</w:t>
      </w:r>
    </w:p>
    <w:p w14:paraId="04D3DE92" w14:textId="2DDD7CCE" w:rsidR="009F5B80" w:rsidRPr="00D03A6A" w:rsidRDefault="009F5B80" w:rsidP="00110EFB">
      <w:pPr>
        <w:pStyle w:val="NormalWeb"/>
        <w:shd w:val="clear" w:color="auto" w:fill="FFFFFF"/>
        <w:spacing w:before="0" w:after="0"/>
        <w:textAlignment w:val="baseline"/>
        <w:rPr>
          <w:rFonts w:asciiTheme="minorHAnsi" w:hAnsiTheme="minorHAnsi" w:cstheme="minorHAnsi"/>
          <w:color w:val="242424"/>
        </w:rPr>
      </w:pPr>
      <w:r w:rsidRPr="00D03A6A">
        <w:rPr>
          <w:rFonts w:asciiTheme="minorHAnsi" w:hAnsiTheme="minorHAnsi" w:cstheme="minorHAnsi"/>
          <w:color w:val="000000"/>
          <w:bdr w:val="none" w:sz="0" w:space="0" w:color="auto" w:frame="1"/>
        </w:rPr>
        <w:t xml:space="preserve">Most attorneys are well-acquainted with </w:t>
      </w:r>
      <w:r w:rsidRPr="00D03A6A">
        <w:rPr>
          <w:rFonts w:asciiTheme="minorHAnsi" w:hAnsiTheme="minorHAnsi" w:cstheme="minorHAnsi"/>
          <w:i/>
          <w:iCs/>
          <w:color w:val="000000"/>
          <w:bdr w:val="none" w:sz="0" w:space="0" w:color="auto" w:frame="1"/>
        </w:rPr>
        <w:t>Wade</w:t>
      </w:r>
      <w:r w:rsidRPr="00D03A6A">
        <w:rPr>
          <w:rFonts w:asciiTheme="minorHAnsi" w:hAnsiTheme="minorHAnsi" w:cstheme="minorHAnsi"/>
          <w:color w:val="000000"/>
          <w:bdr w:val="none" w:sz="0" w:space="0" w:color="auto" w:frame="1"/>
        </w:rPr>
        <w:t xml:space="preserve"> hearings</w:t>
      </w:r>
      <w:r w:rsidR="0090738E" w:rsidRPr="00D03A6A">
        <w:rPr>
          <w:rFonts w:asciiTheme="minorHAnsi" w:hAnsiTheme="minorHAnsi" w:cstheme="minorHAnsi"/>
          <w:color w:val="000000"/>
          <w:bdr w:val="none" w:sz="0" w:space="0" w:color="auto" w:frame="1"/>
        </w:rPr>
        <w:t xml:space="preserve"> and the notion that u</w:t>
      </w:r>
      <w:r w:rsidRPr="00D03A6A">
        <w:rPr>
          <w:rFonts w:asciiTheme="minorHAnsi" w:hAnsiTheme="minorHAnsi" w:cstheme="minorHAnsi"/>
          <w:color w:val="000000"/>
          <w:bdr w:val="none" w:sz="0" w:space="0" w:color="auto" w:frame="1"/>
        </w:rPr>
        <w:t xml:space="preserve">nduly suggestive </w:t>
      </w:r>
      <w:r w:rsidRPr="00D03A6A">
        <w:rPr>
          <w:rFonts w:asciiTheme="minorHAnsi" w:hAnsiTheme="minorHAnsi" w:cstheme="minorHAnsi"/>
          <w:i/>
          <w:iCs/>
          <w:color w:val="000000"/>
          <w:bdr w:val="none" w:sz="0" w:space="0" w:color="auto" w:frame="1"/>
        </w:rPr>
        <w:t>pre-trial identification</w:t>
      </w:r>
      <w:r w:rsidRPr="00D03A6A">
        <w:rPr>
          <w:rFonts w:asciiTheme="minorHAnsi" w:hAnsiTheme="minorHAnsi" w:cstheme="minorHAnsi"/>
          <w:color w:val="000000"/>
          <w:bdr w:val="none" w:sz="0" w:space="0" w:color="auto" w:frame="1"/>
        </w:rPr>
        <w:t xml:space="preserve"> procedures violate </w:t>
      </w:r>
      <w:r w:rsidR="003B2F48">
        <w:rPr>
          <w:rFonts w:asciiTheme="minorHAnsi" w:hAnsiTheme="minorHAnsi" w:cstheme="minorHAnsi"/>
          <w:color w:val="000000"/>
          <w:bdr w:val="none" w:sz="0" w:space="0" w:color="auto" w:frame="1"/>
        </w:rPr>
        <w:t>d</w:t>
      </w:r>
      <w:r w:rsidRPr="00D03A6A">
        <w:rPr>
          <w:rFonts w:asciiTheme="minorHAnsi" w:hAnsiTheme="minorHAnsi" w:cstheme="minorHAnsi"/>
          <w:color w:val="000000"/>
          <w:bdr w:val="none" w:sz="0" w:space="0" w:color="auto" w:frame="1"/>
        </w:rPr>
        <w:t xml:space="preserve">ue </w:t>
      </w:r>
      <w:r w:rsidR="003B2F48">
        <w:rPr>
          <w:rFonts w:asciiTheme="minorHAnsi" w:hAnsiTheme="minorHAnsi" w:cstheme="minorHAnsi"/>
          <w:color w:val="000000"/>
          <w:bdr w:val="none" w:sz="0" w:space="0" w:color="auto" w:frame="1"/>
        </w:rPr>
        <w:t>p</w:t>
      </w:r>
      <w:r w:rsidRPr="00D03A6A">
        <w:rPr>
          <w:rFonts w:asciiTheme="minorHAnsi" w:hAnsiTheme="minorHAnsi" w:cstheme="minorHAnsi"/>
          <w:color w:val="000000"/>
          <w:bdr w:val="none" w:sz="0" w:space="0" w:color="auto" w:frame="1"/>
        </w:rPr>
        <w:t>rocess</w:t>
      </w:r>
      <w:r w:rsidR="00D53274" w:rsidRPr="00D03A6A">
        <w:rPr>
          <w:rFonts w:asciiTheme="minorHAnsi" w:hAnsiTheme="minorHAnsi" w:cstheme="minorHAnsi"/>
          <w:color w:val="000000"/>
          <w:bdr w:val="none" w:sz="0" w:space="0" w:color="auto" w:frame="1"/>
        </w:rPr>
        <w:t>. As such, the</w:t>
      </w:r>
      <w:r w:rsidR="0058282F">
        <w:rPr>
          <w:rFonts w:asciiTheme="minorHAnsi" w:hAnsiTheme="minorHAnsi" w:cstheme="minorHAnsi"/>
          <w:color w:val="000000"/>
          <w:bdr w:val="none" w:sz="0" w:space="0" w:color="auto" w:frame="1"/>
        </w:rPr>
        <w:t xml:space="preserve"> latter</w:t>
      </w:r>
      <w:r w:rsidRPr="00D03A6A">
        <w:rPr>
          <w:rFonts w:asciiTheme="minorHAnsi" w:hAnsiTheme="minorHAnsi" w:cstheme="minorHAnsi"/>
          <w:color w:val="000000"/>
          <w:bdr w:val="none" w:sz="0" w:space="0" w:color="auto" w:frame="1"/>
        </w:rPr>
        <w:t xml:space="preserve"> are not admissible to determine guilt or innocence (</w:t>
      </w:r>
      <w:r w:rsidR="00D53274" w:rsidRPr="00D03A6A">
        <w:rPr>
          <w:rFonts w:asciiTheme="minorHAnsi" w:hAnsiTheme="minorHAnsi" w:cstheme="minorHAnsi"/>
          <w:color w:val="000000"/>
          <w:bdr w:val="none" w:sz="0" w:space="0" w:color="auto" w:frame="1"/>
        </w:rPr>
        <w:t xml:space="preserve">see generally </w:t>
      </w:r>
      <w:r w:rsidRPr="00D03A6A">
        <w:rPr>
          <w:rFonts w:asciiTheme="minorHAnsi" w:hAnsiTheme="minorHAnsi" w:cstheme="minorHAnsi"/>
          <w:i/>
          <w:iCs/>
          <w:color w:val="000000"/>
          <w:bdr w:val="none" w:sz="0" w:space="0" w:color="auto" w:frame="1"/>
        </w:rPr>
        <w:t>United States v Wade</w:t>
      </w:r>
      <w:r w:rsidRPr="00D03A6A">
        <w:rPr>
          <w:rFonts w:asciiTheme="minorHAnsi" w:hAnsiTheme="minorHAnsi" w:cstheme="minorHAnsi"/>
          <w:color w:val="000000"/>
          <w:bdr w:val="none" w:sz="0" w:space="0" w:color="auto" w:frame="1"/>
        </w:rPr>
        <w:t>, 388 U.S. 218 [1967]</w:t>
      </w:r>
      <w:r w:rsidR="00D53274" w:rsidRPr="00D03A6A">
        <w:rPr>
          <w:rFonts w:asciiTheme="minorHAnsi" w:hAnsiTheme="minorHAnsi" w:cstheme="minorHAnsi"/>
          <w:color w:val="000000"/>
          <w:bdr w:val="none" w:sz="0" w:space="0" w:color="auto" w:frame="1"/>
        </w:rPr>
        <w:t xml:space="preserve">; </w:t>
      </w:r>
      <w:r w:rsidR="00D53274" w:rsidRPr="00D03A6A">
        <w:rPr>
          <w:rFonts w:asciiTheme="minorHAnsi" w:hAnsiTheme="minorHAnsi" w:cstheme="minorHAnsi"/>
          <w:i/>
          <w:iCs/>
          <w:color w:val="000000"/>
          <w:bdr w:val="none" w:sz="0" w:space="0" w:color="auto" w:frame="1"/>
        </w:rPr>
        <w:t>People v Chipp</w:t>
      </w:r>
      <w:r w:rsidR="00D53274" w:rsidRPr="00D03A6A">
        <w:rPr>
          <w:rFonts w:asciiTheme="minorHAnsi" w:hAnsiTheme="minorHAnsi" w:cstheme="minorHAnsi"/>
          <w:color w:val="000000"/>
          <w:bdr w:val="none" w:sz="0" w:space="0" w:color="auto" w:frame="1"/>
        </w:rPr>
        <w:t>, 75 NY2d 327 [1990]</w:t>
      </w:r>
      <w:r w:rsidRPr="00D03A6A">
        <w:rPr>
          <w:rFonts w:asciiTheme="minorHAnsi" w:hAnsiTheme="minorHAnsi" w:cstheme="minorHAnsi"/>
          <w:color w:val="000000"/>
          <w:bdr w:val="none" w:sz="0" w:space="0" w:color="auto" w:frame="1"/>
        </w:rPr>
        <w:t xml:space="preserve">). Though the process has proven ponderous, courts </w:t>
      </w:r>
      <w:r w:rsidR="004B46C8" w:rsidRPr="00D03A6A">
        <w:rPr>
          <w:rFonts w:asciiTheme="minorHAnsi" w:hAnsiTheme="minorHAnsi" w:cstheme="minorHAnsi"/>
          <w:color w:val="000000"/>
          <w:bdr w:val="none" w:sz="0" w:space="0" w:color="auto" w:frame="1"/>
        </w:rPr>
        <w:t xml:space="preserve">are </w:t>
      </w:r>
      <w:r w:rsidRPr="00D03A6A">
        <w:rPr>
          <w:rFonts w:asciiTheme="minorHAnsi" w:hAnsiTheme="minorHAnsi" w:cstheme="minorHAnsi"/>
          <w:color w:val="000000"/>
          <w:bdr w:val="none" w:sz="0" w:space="0" w:color="auto" w:frame="1"/>
        </w:rPr>
        <w:t xml:space="preserve">now </w:t>
      </w:r>
      <w:r w:rsidR="004B46C8" w:rsidRPr="00D03A6A">
        <w:rPr>
          <w:rFonts w:asciiTheme="minorHAnsi" w:hAnsiTheme="minorHAnsi" w:cstheme="minorHAnsi"/>
          <w:color w:val="000000"/>
          <w:bdr w:val="none" w:sz="0" w:space="0" w:color="auto" w:frame="1"/>
        </w:rPr>
        <w:t>increasingly cognizant of</w:t>
      </w:r>
      <w:r w:rsidRPr="00D03A6A">
        <w:rPr>
          <w:rFonts w:asciiTheme="minorHAnsi" w:hAnsiTheme="minorHAnsi" w:cstheme="minorHAnsi"/>
          <w:color w:val="000000"/>
          <w:bdr w:val="none" w:sz="0" w:space="0" w:color="auto" w:frame="1"/>
        </w:rPr>
        <w:t xml:space="preserve"> the central role </w:t>
      </w:r>
      <w:r w:rsidR="004B46C8" w:rsidRPr="00D03A6A">
        <w:rPr>
          <w:rFonts w:asciiTheme="minorHAnsi" w:hAnsiTheme="minorHAnsi" w:cstheme="minorHAnsi"/>
          <w:color w:val="000000"/>
          <w:bdr w:val="none" w:sz="0" w:space="0" w:color="auto" w:frame="1"/>
        </w:rPr>
        <w:t xml:space="preserve">that </w:t>
      </w:r>
      <w:r w:rsidRPr="00D03A6A">
        <w:rPr>
          <w:rFonts w:asciiTheme="minorHAnsi" w:hAnsiTheme="minorHAnsi" w:cstheme="minorHAnsi"/>
          <w:color w:val="000000"/>
          <w:bdr w:val="none" w:sz="0" w:space="0" w:color="auto" w:frame="1"/>
        </w:rPr>
        <w:t>misidentification plays in wrongful convictions</w:t>
      </w:r>
      <w:r w:rsidR="007163F9" w:rsidRPr="00D03A6A">
        <w:rPr>
          <w:rFonts w:asciiTheme="minorHAnsi" w:hAnsiTheme="minorHAnsi" w:cstheme="minorHAnsi"/>
          <w:color w:val="000000"/>
          <w:bdr w:val="none" w:sz="0" w:space="0" w:color="auto" w:frame="1"/>
        </w:rPr>
        <w:t>.</w:t>
      </w:r>
      <w:r w:rsidRPr="00D03A6A">
        <w:rPr>
          <w:rFonts w:asciiTheme="minorHAnsi" w:hAnsiTheme="minorHAnsi" w:cstheme="minorHAnsi"/>
          <w:color w:val="000000"/>
          <w:bdr w:val="none" w:sz="0" w:space="0" w:color="auto" w:frame="1"/>
        </w:rPr>
        <w:t xml:space="preserve"> “Wrongful convictions based on mistaken eyewitness identifications pose a serious </w:t>
      </w:r>
      <w:r w:rsidR="0090738E" w:rsidRPr="00D03A6A">
        <w:rPr>
          <w:rFonts w:asciiTheme="minorHAnsi" w:hAnsiTheme="minorHAnsi" w:cstheme="minorHAnsi"/>
          <w:color w:val="000000"/>
          <w:bdr w:val="none" w:sz="0" w:space="0" w:color="auto" w:frame="1"/>
        </w:rPr>
        <w:t>danger to defendants and the integrity of our justice system</w:t>
      </w:r>
      <w:r w:rsidR="009014D5">
        <w:rPr>
          <w:rFonts w:asciiTheme="minorHAnsi" w:hAnsiTheme="minorHAnsi" w:cstheme="minorHAnsi"/>
          <w:color w:val="000000"/>
          <w:bdr w:val="none" w:sz="0" w:space="0" w:color="auto" w:frame="1"/>
        </w:rPr>
        <w:t>”</w:t>
      </w:r>
      <w:r w:rsidR="0090738E" w:rsidRPr="00D03A6A">
        <w:rPr>
          <w:rFonts w:asciiTheme="minorHAnsi" w:hAnsiTheme="minorHAnsi" w:cstheme="minorHAnsi"/>
          <w:color w:val="000000"/>
          <w:bdr w:val="none" w:sz="0" w:space="0" w:color="auto" w:frame="1"/>
        </w:rPr>
        <w:t xml:space="preserve"> (</w:t>
      </w:r>
      <w:r w:rsidR="0090738E" w:rsidRPr="00D03A6A">
        <w:rPr>
          <w:rFonts w:asciiTheme="minorHAnsi" w:hAnsiTheme="minorHAnsi" w:cstheme="minorHAnsi"/>
          <w:i/>
          <w:iCs/>
          <w:color w:val="000000"/>
          <w:bdr w:val="none" w:sz="0" w:space="0" w:color="auto" w:frame="1"/>
        </w:rPr>
        <w:t>People v Marshall</w:t>
      </w:r>
      <w:r w:rsidR="0090738E" w:rsidRPr="00D03A6A">
        <w:rPr>
          <w:rFonts w:asciiTheme="minorHAnsi" w:hAnsiTheme="minorHAnsi" w:cstheme="minorHAnsi"/>
          <w:color w:val="000000"/>
          <w:bdr w:val="none" w:sz="0" w:space="0" w:color="auto" w:frame="1"/>
        </w:rPr>
        <w:t>, 26 NY3d 495, 502 [2015]).</w:t>
      </w:r>
      <w:r w:rsidR="007163F9" w:rsidRPr="00D03A6A">
        <w:rPr>
          <w:rFonts w:asciiTheme="minorHAnsi" w:hAnsiTheme="minorHAnsi" w:cstheme="minorHAnsi"/>
          <w:color w:val="000000"/>
          <w:bdr w:val="none" w:sz="0" w:space="0" w:color="auto" w:frame="1"/>
        </w:rPr>
        <w:t xml:space="preserve">  By extension, courts now also recognize the equally central role undue suggestiveness plays in misidentification. “Apart from the uncertainty of human memory, suggestive identification procedures increase the dangers </w:t>
      </w:r>
      <w:proofErr w:type="gramStart"/>
      <w:r w:rsidR="007163F9" w:rsidRPr="00D03A6A">
        <w:rPr>
          <w:rFonts w:asciiTheme="minorHAnsi" w:hAnsiTheme="minorHAnsi" w:cstheme="minorHAnsi"/>
          <w:color w:val="000000"/>
          <w:bdr w:val="none" w:sz="0" w:space="0" w:color="auto" w:frame="1"/>
        </w:rPr>
        <w:t>inhering</w:t>
      </w:r>
      <w:proofErr w:type="gramEnd"/>
      <w:r w:rsidR="007163F9" w:rsidRPr="00D03A6A">
        <w:rPr>
          <w:rFonts w:asciiTheme="minorHAnsi" w:hAnsiTheme="minorHAnsi" w:cstheme="minorHAnsi"/>
          <w:color w:val="000000"/>
          <w:bdr w:val="none" w:sz="0" w:space="0" w:color="auto" w:frame="1"/>
        </w:rPr>
        <w:t xml:space="preserve"> from eyewitness identification” (</w:t>
      </w:r>
      <w:r w:rsidR="007163F9" w:rsidRPr="00D03A6A">
        <w:rPr>
          <w:rFonts w:asciiTheme="minorHAnsi" w:hAnsiTheme="minorHAnsi" w:cstheme="minorHAnsi"/>
          <w:i/>
          <w:iCs/>
          <w:color w:val="000000"/>
          <w:bdr w:val="none" w:sz="0" w:space="0" w:color="auto" w:frame="1"/>
        </w:rPr>
        <w:t>Id</w:t>
      </w:r>
      <w:r w:rsidR="007163F9" w:rsidRPr="00D03A6A">
        <w:rPr>
          <w:rFonts w:asciiTheme="minorHAnsi" w:hAnsiTheme="minorHAnsi" w:cstheme="minorHAnsi"/>
          <w:color w:val="000000"/>
          <w:bdr w:val="none" w:sz="0" w:space="0" w:color="auto" w:frame="1"/>
        </w:rPr>
        <w:t xml:space="preserve">., at 502). </w:t>
      </w:r>
      <w:r w:rsidR="0090738E" w:rsidRPr="00D03A6A">
        <w:rPr>
          <w:rFonts w:asciiTheme="minorHAnsi" w:hAnsiTheme="minorHAnsi" w:cstheme="minorHAnsi"/>
          <w:color w:val="000000"/>
          <w:bdr w:val="none" w:sz="0" w:space="0" w:color="auto" w:frame="1"/>
        </w:rPr>
        <w:t xml:space="preserve"> </w:t>
      </w:r>
      <w:r w:rsidRPr="00D03A6A">
        <w:rPr>
          <w:rFonts w:asciiTheme="minorHAnsi" w:hAnsiTheme="minorHAnsi" w:cstheme="minorHAnsi"/>
          <w:color w:val="000000"/>
          <w:bdr w:val="none" w:sz="0" w:space="0" w:color="auto" w:frame="1"/>
        </w:rPr>
        <w:t xml:space="preserve"> </w:t>
      </w:r>
    </w:p>
    <w:p w14:paraId="24B34F6E" w14:textId="0E8651D2" w:rsidR="00110EFB" w:rsidRPr="00D03A6A" w:rsidRDefault="007163F9" w:rsidP="00110EFB">
      <w:pPr>
        <w:pStyle w:val="NormalWeb"/>
        <w:shd w:val="clear" w:color="auto" w:fill="FFFFFF"/>
        <w:spacing w:before="0" w:after="0"/>
        <w:textAlignment w:val="baseline"/>
        <w:rPr>
          <w:rFonts w:asciiTheme="minorHAnsi" w:hAnsiTheme="minorHAnsi" w:cstheme="minorHAnsi"/>
          <w:color w:val="000000"/>
          <w:bdr w:val="none" w:sz="0" w:space="0" w:color="auto" w:frame="1"/>
        </w:rPr>
      </w:pPr>
      <w:r w:rsidRPr="00D03A6A">
        <w:rPr>
          <w:rFonts w:asciiTheme="minorHAnsi" w:hAnsiTheme="minorHAnsi" w:cstheme="minorHAnsi"/>
          <w:color w:val="000000"/>
          <w:bdr w:val="none" w:sz="0" w:space="0" w:color="auto" w:frame="1"/>
        </w:rPr>
        <w:t xml:space="preserve">Perhaps less familiar, however, are the ideas that (1) </w:t>
      </w:r>
      <w:r w:rsidRPr="00D03A6A">
        <w:rPr>
          <w:rFonts w:asciiTheme="minorHAnsi" w:hAnsiTheme="minorHAnsi" w:cstheme="minorHAnsi"/>
          <w:i/>
          <w:iCs/>
          <w:color w:val="000000"/>
          <w:bdr w:val="none" w:sz="0" w:space="0" w:color="auto" w:frame="1"/>
        </w:rPr>
        <w:t>in-court identification</w:t>
      </w:r>
      <w:r w:rsidR="0025441B" w:rsidRPr="00D03A6A">
        <w:rPr>
          <w:rFonts w:asciiTheme="minorHAnsi" w:hAnsiTheme="minorHAnsi" w:cstheme="minorHAnsi"/>
          <w:i/>
          <w:iCs/>
          <w:color w:val="000000"/>
          <w:bdr w:val="none" w:sz="0" w:space="0" w:color="auto" w:frame="1"/>
        </w:rPr>
        <w:t>s</w:t>
      </w:r>
      <w:r w:rsidRPr="00D03A6A">
        <w:rPr>
          <w:rFonts w:asciiTheme="minorHAnsi" w:hAnsiTheme="minorHAnsi" w:cstheme="minorHAnsi"/>
          <w:color w:val="000000"/>
          <w:bdr w:val="none" w:sz="0" w:space="0" w:color="auto" w:frame="1"/>
        </w:rPr>
        <w:t xml:space="preserve"> can be </w:t>
      </w:r>
      <w:r w:rsidR="00075B10" w:rsidRPr="00D03A6A">
        <w:rPr>
          <w:rFonts w:asciiTheme="minorHAnsi" w:hAnsiTheme="minorHAnsi" w:cstheme="minorHAnsi"/>
          <w:color w:val="000000"/>
          <w:bdr w:val="none" w:sz="0" w:space="0" w:color="auto" w:frame="1"/>
        </w:rPr>
        <w:t xml:space="preserve">unduly </w:t>
      </w:r>
      <w:r w:rsidRPr="00D03A6A">
        <w:rPr>
          <w:rFonts w:asciiTheme="minorHAnsi" w:hAnsiTheme="minorHAnsi" w:cstheme="minorHAnsi"/>
          <w:color w:val="000000"/>
          <w:bdr w:val="none" w:sz="0" w:space="0" w:color="auto" w:frame="1"/>
        </w:rPr>
        <w:t xml:space="preserve">suggestive, and (2) counsel is not without recourse in seeking to alleviate that suggestiveness.   </w:t>
      </w:r>
    </w:p>
    <w:p w14:paraId="3B3EDD47" w14:textId="759C720B" w:rsidR="008A6CF2" w:rsidRPr="00D03A6A" w:rsidRDefault="00D93380" w:rsidP="00110EFB">
      <w:pPr>
        <w:pStyle w:val="NormalWeb"/>
        <w:shd w:val="clear" w:color="auto" w:fill="FFFFFF"/>
        <w:spacing w:before="0" w:after="0"/>
        <w:textAlignment w:val="baseline"/>
        <w:rPr>
          <w:rFonts w:asciiTheme="minorHAnsi" w:hAnsiTheme="minorHAnsi" w:cstheme="minorHAnsi"/>
          <w:b/>
          <w:bCs/>
          <w:color w:val="000000"/>
          <w:bdr w:val="none" w:sz="0" w:space="0" w:color="auto" w:frame="1"/>
        </w:rPr>
      </w:pPr>
      <w:r w:rsidRPr="00D03A6A">
        <w:rPr>
          <w:rFonts w:asciiTheme="minorHAnsi" w:hAnsiTheme="minorHAnsi" w:cstheme="minorHAnsi"/>
          <w:b/>
          <w:bCs/>
          <w:i/>
          <w:iCs/>
          <w:color w:val="000000"/>
          <w:bdr w:val="none" w:sz="0" w:space="0" w:color="auto" w:frame="1"/>
        </w:rPr>
        <w:t>Williams</w:t>
      </w:r>
      <w:r w:rsidRPr="00D03A6A">
        <w:rPr>
          <w:rFonts w:asciiTheme="minorHAnsi" w:hAnsiTheme="minorHAnsi" w:cstheme="minorHAnsi"/>
          <w:b/>
          <w:bCs/>
          <w:color w:val="000000"/>
          <w:bdr w:val="none" w:sz="0" w:space="0" w:color="auto" w:frame="1"/>
        </w:rPr>
        <w:t xml:space="preserve"> and </w:t>
      </w:r>
      <w:r w:rsidR="008A6CF2" w:rsidRPr="00D03A6A">
        <w:rPr>
          <w:rFonts w:asciiTheme="minorHAnsi" w:hAnsiTheme="minorHAnsi" w:cstheme="minorHAnsi"/>
          <w:b/>
          <w:bCs/>
          <w:i/>
          <w:iCs/>
          <w:color w:val="000000"/>
          <w:bdr w:val="none" w:sz="0" w:space="0" w:color="auto" w:frame="1"/>
        </w:rPr>
        <w:t>Archibald</w:t>
      </w:r>
      <w:r w:rsidR="008A6CF2" w:rsidRPr="00D03A6A">
        <w:rPr>
          <w:rFonts w:asciiTheme="minorHAnsi" w:hAnsiTheme="minorHAnsi" w:cstheme="minorHAnsi"/>
          <w:b/>
          <w:bCs/>
          <w:color w:val="000000"/>
          <w:bdr w:val="none" w:sz="0" w:space="0" w:color="auto" w:frame="1"/>
        </w:rPr>
        <w:t>.</w:t>
      </w:r>
    </w:p>
    <w:p w14:paraId="7FFF1DCF" w14:textId="3EE428ED" w:rsidR="00D93380" w:rsidRPr="00D03A6A" w:rsidRDefault="00567768" w:rsidP="00110EFB">
      <w:pPr>
        <w:pStyle w:val="NormalWeb"/>
        <w:shd w:val="clear" w:color="auto" w:fill="FFFFFF"/>
        <w:spacing w:before="0" w:after="0"/>
        <w:textAlignment w:val="baseline"/>
        <w:rPr>
          <w:rFonts w:asciiTheme="minorHAnsi" w:hAnsiTheme="minorHAnsi" w:cstheme="minorHAnsi"/>
          <w:color w:val="000000"/>
          <w:bdr w:val="none" w:sz="0" w:space="0" w:color="auto" w:frame="1"/>
        </w:rPr>
      </w:pPr>
      <w:r w:rsidRPr="00D03A6A">
        <w:rPr>
          <w:rFonts w:asciiTheme="minorHAnsi" w:hAnsiTheme="minorHAnsi" w:cstheme="minorHAnsi"/>
          <w:color w:val="000000"/>
          <w:bdr w:val="none" w:sz="0" w:space="0" w:color="auto" w:frame="1"/>
        </w:rPr>
        <w:t xml:space="preserve">In </w:t>
      </w:r>
      <w:r w:rsidRPr="00D03A6A">
        <w:rPr>
          <w:rFonts w:asciiTheme="minorHAnsi" w:hAnsiTheme="minorHAnsi" w:cstheme="minorHAnsi"/>
          <w:i/>
          <w:iCs/>
          <w:color w:val="000000"/>
          <w:bdr w:val="none" w:sz="0" w:space="0" w:color="auto" w:frame="1"/>
        </w:rPr>
        <w:t xml:space="preserve">United States v </w:t>
      </w:r>
      <w:r w:rsidR="00D93380" w:rsidRPr="00D03A6A">
        <w:rPr>
          <w:rFonts w:asciiTheme="minorHAnsi" w:hAnsiTheme="minorHAnsi" w:cstheme="minorHAnsi"/>
          <w:i/>
          <w:iCs/>
          <w:color w:val="000000"/>
          <w:bdr w:val="none" w:sz="0" w:space="0" w:color="auto" w:frame="1"/>
        </w:rPr>
        <w:t>Williams</w:t>
      </w:r>
      <w:r w:rsidRPr="00D03A6A">
        <w:rPr>
          <w:rFonts w:asciiTheme="minorHAnsi" w:hAnsiTheme="minorHAnsi" w:cstheme="minorHAnsi"/>
          <w:color w:val="000000"/>
          <w:bdr w:val="none" w:sz="0" w:space="0" w:color="auto" w:frame="1"/>
        </w:rPr>
        <w:t xml:space="preserve"> (436 F.2d 1166 [9</w:t>
      </w:r>
      <w:r w:rsidRPr="00D03A6A">
        <w:rPr>
          <w:rFonts w:asciiTheme="minorHAnsi" w:hAnsiTheme="minorHAnsi" w:cstheme="minorHAnsi"/>
          <w:color w:val="000000"/>
          <w:bdr w:val="none" w:sz="0" w:space="0" w:color="auto" w:frame="1"/>
          <w:vertAlign w:val="superscript"/>
        </w:rPr>
        <w:t>th</w:t>
      </w:r>
      <w:r w:rsidRPr="00D03A6A">
        <w:rPr>
          <w:rFonts w:asciiTheme="minorHAnsi" w:hAnsiTheme="minorHAnsi" w:cstheme="minorHAnsi"/>
          <w:color w:val="000000"/>
          <w:bdr w:val="none" w:sz="0" w:space="0" w:color="auto" w:frame="1"/>
        </w:rPr>
        <w:t xml:space="preserve"> Cir</w:t>
      </w:r>
      <w:r w:rsidR="003B5013" w:rsidRPr="00D03A6A">
        <w:rPr>
          <w:rFonts w:asciiTheme="minorHAnsi" w:hAnsiTheme="minorHAnsi" w:cstheme="minorHAnsi"/>
          <w:color w:val="000000"/>
          <w:bdr w:val="none" w:sz="0" w:space="0" w:color="auto" w:frame="1"/>
        </w:rPr>
        <w:t xml:space="preserve"> 1970</w:t>
      </w:r>
      <w:r w:rsidRPr="00D03A6A">
        <w:rPr>
          <w:rFonts w:asciiTheme="minorHAnsi" w:hAnsiTheme="minorHAnsi" w:cstheme="minorHAnsi"/>
          <w:color w:val="000000"/>
          <w:bdr w:val="none" w:sz="0" w:space="0" w:color="auto" w:frame="1"/>
        </w:rPr>
        <w:t xml:space="preserve">]), the defendant was charged with bank robbery. It was alleged that he passed a teller a note reading, “hand me your money. I am not kidding. I have a bottle of nitroglycerin.” </w:t>
      </w:r>
      <w:r w:rsidR="00EC0008" w:rsidRPr="00D03A6A">
        <w:rPr>
          <w:rFonts w:asciiTheme="minorHAnsi" w:hAnsiTheme="minorHAnsi" w:cstheme="minorHAnsi"/>
          <w:color w:val="000000"/>
          <w:bdr w:val="none" w:sz="0" w:space="0" w:color="auto" w:frame="1"/>
        </w:rPr>
        <w:t xml:space="preserve">He left the bank with a paper sack containing $308. </w:t>
      </w:r>
      <w:r w:rsidRPr="00D03A6A">
        <w:rPr>
          <w:rFonts w:asciiTheme="minorHAnsi" w:hAnsiTheme="minorHAnsi" w:cstheme="minorHAnsi"/>
          <w:color w:val="000000"/>
          <w:bdr w:val="none" w:sz="0" w:space="0" w:color="auto" w:frame="1"/>
        </w:rPr>
        <w:t xml:space="preserve">At trial, two tellers were -- with varying degrees of confidence -- able to identify him. The defendant’s neighbor also testified to admissions he had made about how he had robbed </w:t>
      </w:r>
      <w:r w:rsidR="003B5013" w:rsidRPr="00D03A6A">
        <w:rPr>
          <w:rFonts w:asciiTheme="minorHAnsi" w:hAnsiTheme="minorHAnsi" w:cstheme="minorHAnsi"/>
          <w:color w:val="000000"/>
          <w:bdr w:val="none" w:sz="0" w:space="0" w:color="auto" w:frame="1"/>
        </w:rPr>
        <w:t>the</w:t>
      </w:r>
      <w:r w:rsidRPr="00D03A6A">
        <w:rPr>
          <w:rFonts w:asciiTheme="minorHAnsi" w:hAnsiTheme="minorHAnsi" w:cstheme="minorHAnsi"/>
          <w:color w:val="000000"/>
          <w:bdr w:val="none" w:sz="0" w:space="0" w:color="auto" w:frame="1"/>
        </w:rPr>
        <w:t xml:space="preserve"> bank</w:t>
      </w:r>
      <w:r w:rsidR="003B5013" w:rsidRPr="00D03A6A">
        <w:rPr>
          <w:rFonts w:asciiTheme="minorHAnsi" w:hAnsiTheme="minorHAnsi" w:cstheme="minorHAnsi"/>
          <w:color w:val="000000"/>
          <w:bdr w:val="none" w:sz="0" w:space="0" w:color="auto" w:frame="1"/>
        </w:rPr>
        <w:t xml:space="preserve"> in question</w:t>
      </w:r>
      <w:r w:rsidRPr="00D03A6A">
        <w:rPr>
          <w:rFonts w:asciiTheme="minorHAnsi" w:hAnsiTheme="minorHAnsi" w:cstheme="minorHAnsi"/>
          <w:color w:val="000000"/>
          <w:bdr w:val="none" w:sz="0" w:space="0" w:color="auto" w:frame="1"/>
        </w:rPr>
        <w:t xml:space="preserve">.  </w:t>
      </w:r>
    </w:p>
    <w:p w14:paraId="67E9E58E" w14:textId="34E66EFB" w:rsidR="00EC0008" w:rsidRPr="00D03A6A" w:rsidRDefault="00EC0008" w:rsidP="00110EFB">
      <w:pPr>
        <w:pStyle w:val="NormalWeb"/>
        <w:shd w:val="clear" w:color="auto" w:fill="FFFFFF"/>
        <w:spacing w:before="0" w:after="0"/>
        <w:textAlignment w:val="baseline"/>
        <w:rPr>
          <w:rFonts w:asciiTheme="minorHAnsi" w:hAnsiTheme="minorHAnsi" w:cstheme="minorHAnsi"/>
          <w:color w:val="000000"/>
          <w:bdr w:val="none" w:sz="0" w:space="0" w:color="auto" w:frame="1"/>
        </w:rPr>
      </w:pPr>
      <w:r w:rsidRPr="00D03A6A">
        <w:rPr>
          <w:rFonts w:asciiTheme="minorHAnsi" w:hAnsiTheme="minorHAnsi" w:cstheme="minorHAnsi"/>
          <w:color w:val="000000"/>
          <w:bdr w:val="none" w:sz="0" w:space="0" w:color="auto" w:frame="1"/>
        </w:rPr>
        <w:t>Prior to trial, the defendant asked th</w:t>
      </w:r>
      <w:r w:rsidR="003B5013" w:rsidRPr="00D03A6A">
        <w:rPr>
          <w:rFonts w:asciiTheme="minorHAnsi" w:hAnsiTheme="minorHAnsi" w:cstheme="minorHAnsi"/>
          <w:color w:val="000000"/>
          <w:bdr w:val="none" w:sz="0" w:space="0" w:color="auto" w:frame="1"/>
        </w:rPr>
        <w:t>e trial</w:t>
      </w:r>
      <w:r w:rsidRPr="00D03A6A">
        <w:rPr>
          <w:rFonts w:asciiTheme="minorHAnsi" w:hAnsiTheme="minorHAnsi" w:cstheme="minorHAnsi"/>
          <w:color w:val="000000"/>
          <w:bdr w:val="none" w:sz="0" w:space="0" w:color="auto" w:frame="1"/>
        </w:rPr>
        <w:t xml:space="preserve"> court to conduct an in-court lineup. The request was denied. On appeal, </w:t>
      </w:r>
      <w:r w:rsidR="003B5013" w:rsidRPr="00D03A6A">
        <w:rPr>
          <w:rFonts w:asciiTheme="minorHAnsi" w:hAnsiTheme="minorHAnsi" w:cstheme="minorHAnsi"/>
          <w:color w:val="000000"/>
          <w:bdr w:val="none" w:sz="0" w:space="0" w:color="auto" w:frame="1"/>
        </w:rPr>
        <w:t>the defendant claimed</w:t>
      </w:r>
      <w:r w:rsidRPr="00D03A6A">
        <w:rPr>
          <w:rFonts w:asciiTheme="minorHAnsi" w:hAnsiTheme="minorHAnsi" w:cstheme="minorHAnsi"/>
          <w:color w:val="000000"/>
          <w:bdr w:val="none" w:sz="0" w:space="0" w:color="auto" w:frame="1"/>
        </w:rPr>
        <w:t xml:space="preserve"> that </w:t>
      </w:r>
      <w:r w:rsidR="003B5013" w:rsidRPr="00D03A6A">
        <w:rPr>
          <w:rFonts w:asciiTheme="minorHAnsi" w:hAnsiTheme="minorHAnsi" w:cstheme="minorHAnsi"/>
          <w:color w:val="000000"/>
          <w:bdr w:val="none" w:sz="0" w:space="0" w:color="auto" w:frame="1"/>
        </w:rPr>
        <w:t>denial</w:t>
      </w:r>
      <w:r w:rsidRPr="00D03A6A">
        <w:rPr>
          <w:rFonts w:asciiTheme="minorHAnsi" w:hAnsiTheme="minorHAnsi" w:cstheme="minorHAnsi"/>
          <w:color w:val="000000"/>
          <w:bdr w:val="none" w:sz="0" w:space="0" w:color="auto" w:frame="1"/>
        </w:rPr>
        <w:t xml:space="preserve"> was </w:t>
      </w:r>
      <w:proofErr w:type="gramStart"/>
      <w:r w:rsidRPr="00D03A6A">
        <w:rPr>
          <w:rFonts w:asciiTheme="minorHAnsi" w:hAnsiTheme="minorHAnsi" w:cstheme="minorHAnsi"/>
          <w:color w:val="000000"/>
          <w:bdr w:val="none" w:sz="0" w:space="0" w:color="auto" w:frame="1"/>
        </w:rPr>
        <w:t>error</w:t>
      </w:r>
      <w:proofErr w:type="gramEnd"/>
      <w:r w:rsidRPr="00D03A6A">
        <w:rPr>
          <w:rFonts w:asciiTheme="minorHAnsi" w:hAnsiTheme="minorHAnsi" w:cstheme="minorHAnsi"/>
          <w:color w:val="000000"/>
          <w:bdr w:val="none" w:sz="0" w:space="0" w:color="auto" w:frame="1"/>
        </w:rPr>
        <w:t xml:space="preserve">. The Ninth Circuit </w:t>
      </w:r>
      <w:r w:rsidR="003B5013" w:rsidRPr="00D03A6A">
        <w:rPr>
          <w:rFonts w:asciiTheme="minorHAnsi" w:hAnsiTheme="minorHAnsi" w:cstheme="minorHAnsi"/>
          <w:color w:val="000000"/>
          <w:bdr w:val="none" w:sz="0" w:space="0" w:color="auto" w:frame="1"/>
        </w:rPr>
        <w:t xml:space="preserve">rejected the claim and affirmed. They </w:t>
      </w:r>
      <w:r w:rsidR="001345F8" w:rsidRPr="00D03A6A">
        <w:rPr>
          <w:rFonts w:asciiTheme="minorHAnsi" w:hAnsiTheme="minorHAnsi" w:cstheme="minorHAnsi"/>
          <w:color w:val="000000"/>
          <w:bdr w:val="none" w:sz="0" w:space="0" w:color="auto" w:frame="1"/>
        </w:rPr>
        <w:t>noted</w:t>
      </w:r>
      <w:r w:rsidR="003B5013" w:rsidRPr="00D03A6A">
        <w:rPr>
          <w:rFonts w:asciiTheme="minorHAnsi" w:hAnsiTheme="minorHAnsi" w:cstheme="minorHAnsi"/>
          <w:color w:val="000000"/>
          <w:bdr w:val="none" w:sz="0" w:space="0" w:color="auto" w:frame="1"/>
        </w:rPr>
        <w:t>, however,</w:t>
      </w:r>
      <w:r w:rsidR="001345F8" w:rsidRPr="00D03A6A">
        <w:rPr>
          <w:rFonts w:asciiTheme="minorHAnsi" w:hAnsiTheme="minorHAnsi" w:cstheme="minorHAnsi"/>
          <w:color w:val="000000"/>
          <w:bdr w:val="none" w:sz="0" w:space="0" w:color="auto" w:frame="1"/>
        </w:rPr>
        <w:t xml:space="preserve"> that in cases hinging on the strength of in-court identification evidence, “the identification procedure should be as lacking in inherent suggestiveness as possible” (</w:t>
      </w:r>
      <w:r w:rsidR="001345F8" w:rsidRPr="00D03A6A">
        <w:rPr>
          <w:rFonts w:asciiTheme="minorHAnsi" w:hAnsiTheme="minorHAnsi" w:cstheme="minorHAnsi"/>
          <w:i/>
          <w:iCs/>
          <w:color w:val="000000"/>
          <w:bdr w:val="none" w:sz="0" w:space="0" w:color="auto" w:frame="1"/>
        </w:rPr>
        <w:t>Williams</w:t>
      </w:r>
      <w:r w:rsidR="001345F8" w:rsidRPr="00D03A6A">
        <w:rPr>
          <w:rFonts w:asciiTheme="minorHAnsi" w:hAnsiTheme="minorHAnsi" w:cstheme="minorHAnsi"/>
          <w:color w:val="000000"/>
          <w:bdr w:val="none" w:sz="0" w:space="0" w:color="auto" w:frame="1"/>
        </w:rPr>
        <w:t xml:space="preserve">, at 1168). </w:t>
      </w:r>
      <w:r w:rsidR="003B5013" w:rsidRPr="00D03A6A">
        <w:rPr>
          <w:rFonts w:asciiTheme="minorHAnsi" w:hAnsiTheme="minorHAnsi" w:cstheme="minorHAnsi"/>
          <w:color w:val="000000"/>
          <w:bdr w:val="none" w:sz="0" w:space="0" w:color="auto" w:frame="1"/>
        </w:rPr>
        <w:t>The Ninth Circuit also observed</w:t>
      </w:r>
      <w:r w:rsidR="001345F8" w:rsidRPr="00D03A6A">
        <w:rPr>
          <w:rFonts w:asciiTheme="minorHAnsi" w:hAnsiTheme="minorHAnsi" w:cstheme="minorHAnsi"/>
          <w:color w:val="000000"/>
          <w:bdr w:val="none" w:sz="0" w:space="0" w:color="auto" w:frame="1"/>
        </w:rPr>
        <w:t xml:space="preserve"> that some trial </w:t>
      </w:r>
      <w:r w:rsidR="001345F8" w:rsidRPr="00D03A6A">
        <w:rPr>
          <w:rFonts w:asciiTheme="minorHAnsi" w:hAnsiTheme="minorHAnsi" w:cstheme="minorHAnsi"/>
          <w:color w:val="000000"/>
          <w:bdr w:val="none" w:sz="0" w:space="0" w:color="auto" w:frame="1"/>
        </w:rPr>
        <w:lastRenderedPageBreak/>
        <w:t>courts had seated the defendant in the gallery or conducted an in-court lineup</w:t>
      </w:r>
      <w:r w:rsidR="003B5013" w:rsidRPr="00D03A6A">
        <w:rPr>
          <w:rFonts w:asciiTheme="minorHAnsi" w:hAnsiTheme="minorHAnsi" w:cstheme="minorHAnsi"/>
          <w:color w:val="000000"/>
          <w:bdr w:val="none" w:sz="0" w:space="0" w:color="auto" w:frame="1"/>
        </w:rPr>
        <w:t xml:space="preserve"> -- calling these “desirable efforts to ensure a fair trial” (</w:t>
      </w:r>
      <w:r w:rsidR="003B5013" w:rsidRPr="00D03A6A">
        <w:rPr>
          <w:rFonts w:asciiTheme="minorHAnsi" w:hAnsiTheme="minorHAnsi" w:cstheme="minorHAnsi"/>
          <w:i/>
          <w:iCs/>
          <w:color w:val="000000"/>
          <w:bdr w:val="none" w:sz="0" w:space="0" w:color="auto" w:frame="1"/>
        </w:rPr>
        <w:t>Id</w:t>
      </w:r>
      <w:r w:rsidR="003B5013" w:rsidRPr="00D03A6A">
        <w:rPr>
          <w:rFonts w:asciiTheme="minorHAnsi" w:hAnsiTheme="minorHAnsi" w:cstheme="minorHAnsi"/>
          <w:color w:val="000000"/>
          <w:bdr w:val="none" w:sz="0" w:space="0" w:color="auto" w:frame="1"/>
        </w:rPr>
        <w:t>., at 1168).  The Court stopped short of requiring such procedures, because it could find no legal support for the proposition. Instead, the Court left it to the discretion of the trial courts.</w:t>
      </w:r>
    </w:p>
    <w:p w14:paraId="0192DB64" w14:textId="6D89D8DC" w:rsidR="00EC0008" w:rsidRPr="00D03A6A" w:rsidRDefault="00FD5F0E" w:rsidP="00110EFB">
      <w:pPr>
        <w:pStyle w:val="NormalWeb"/>
        <w:shd w:val="clear" w:color="auto" w:fill="FFFFFF"/>
        <w:spacing w:before="0" w:after="0"/>
        <w:textAlignment w:val="baseline"/>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 xml:space="preserve">In </w:t>
      </w:r>
      <w:r w:rsidR="00623F30" w:rsidRPr="00D03A6A">
        <w:rPr>
          <w:rFonts w:asciiTheme="minorHAnsi" w:hAnsiTheme="minorHAnsi" w:cstheme="minorHAnsi"/>
          <w:i/>
          <w:iCs/>
          <w:color w:val="000000"/>
          <w:bdr w:val="none" w:sz="0" w:space="0" w:color="auto" w:frame="1"/>
        </w:rPr>
        <w:t>United States v Archibald</w:t>
      </w:r>
      <w:r w:rsidR="00623F30" w:rsidRPr="00D03A6A">
        <w:rPr>
          <w:rFonts w:asciiTheme="minorHAnsi" w:hAnsiTheme="minorHAnsi" w:cstheme="minorHAnsi"/>
          <w:color w:val="000000"/>
          <w:bdr w:val="none" w:sz="0" w:space="0" w:color="auto" w:frame="1"/>
        </w:rPr>
        <w:t xml:space="preserve"> (734 F.2d 938 [2</w:t>
      </w:r>
      <w:r w:rsidR="00623F30" w:rsidRPr="00D03A6A">
        <w:rPr>
          <w:rFonts w:asciiTheme="minorHAnsi" w:hAnsiTheme="minorHAnsi" w:cstheme="minorHAnsi"/>
          <w:color w:val="000000"/>
          <w:bdr w:val="none" w:sz="0" w:space="0" w:color="auto" w:frame="1"/>
          <w:vertAlign w:val="superscript"/>
        </w:rPr>
        <w:t>nd</w:t>
      </w:r>
      <w:r w:rsidR="00623F30" w:rsidRPr="00D03A6A">
        <w:rPr>
          <w:rFonts w:asciiTheme="minorHAnsi" w:hAnsiTheme="minorHAnsi" w:cstheme="minorHAnsi"/>
          <w:color w:val="000000"/>
          <w:bdr w:val="none" w:sz="0" w:space="0" w:color="auto" w:frame="1"/>
        </w:rPr>
        <w:t xml:space="preserve"> Cir 1984])</w:t>
      </w:r>
      <w:r w:rsidR="00567768" w:rsidRPr="00D03A6A">
        <w:rPr>
          <w:rFonts w:asciiTheme="minorHAnsi" w:hAnsiTheme="minorHAnsi" w:cstheme="minorHAnsi"/>
          <w:color w:val="000000"/>
          <w:bdr w:val="none" w:sz="0" w:space="0" w:color="auto" w:frame="1"/>
        </w:rPr>
        <w:t>,</w:t>
      </w:r>
      <w:r w:rsidR="00623F30" w:rsidRPr="00D03A6A">
        <w:rPr>
          <w:rFonts w:asciiTheme="minorHAnsi" w:hAnsiTheme="minorHAnsi" w:cstheme="minorHAnsi"/>
          <w:color w:val="000000"/>
          <w:bdr w:val="none" w:sz="0" w:space="0" w:color="auto" w:frame="1"/>
        </w:rPr>
        <w:t xml:space="preserve"> the defendant</w:t>
      </w:r>
      <w:r w:rsidR="0025441B" w:rsidRPr="00D03A6A">
        <w:rPr>
          <w:rFonts w:asciiTheme="minorHAnsi" w:hAnsiTheme="minorHAnsi" w:cstheme="minorHAnsi"/>
          <w:color w:val="000000"/>
          <w:bdr w:val="none" w:sz="0" w:space="0" w:color="auto" w:frame="1"/>
        </w:rPr>
        <w:t xml:space="preserve"> and</w:t>
      </w:r>
      <w:r w:rsidR="00075B10" w:rsidRPr="00D03A6A">
        <w:rPr>
          <w:rFonts w:asciiTheme="minorHAnsi" w:hAnsiTheme="minorHAnsi" w:cstheme="minorHAnsi"/>
          <w:color w:val="000000"/>
          <w:bdr w:val="none" w:sz="0" w:space="0" w:color="auto" w:frame="1"/>
        </w:rPr>
        <w:t xml:space="preserve"> two other men</w:t>
      </w:r>
      <w:r w:rsidR="00623F30" w:rsidRPr="00D03A6A">
        <w:rPr>
          <w:rFonts w:asciiTheme="minorHAnsi" w:hAnsiTheme="minorHAnsi" w:cstheme="minorHAnsi"/>
          <w:color w:val="000000"/>
          <w:bdr w:val="none" w:sz="0" w:space="0" w:color="auto" w:frame="1"/>
        </w:rPr>
        <w:t xml:space="preserve"> w</w:t>
      </w:r>
      <w:r w:rsidR="0025441B" w:rsidRPr="00D03A6A">
        <w:rPr>
          <w:rFonts w:asciiTheme="minorHAnsi" w:hAnsiTheme="minorHAnsi" w:cstheme="minorHAnsi"/>
          <w:color w:val="000000"/>
          <w:bdr w:val="none" w:sz="0" w:space="0" w:color="auto" w:frame="1"/>
        </w:rPr>
        <w:t>ere</w:t>
      </w:r>
      <w:r w:rsidR="00623F30" w:rsidRPr="00D03A6A">
        <w:rPr>
          <w:rFonts w:asciiTheme="minorHAnsi" w:hAnsiTheme="minorHAnsi" w:cstheme="minorHAnsi"/>
          <w:color w:val="000000"/>
          <w:bdr w:val="none" w:sz="0" w:space="0" w:color="auto" w:frame="1"/>
        </w:rPr>
        <w:t xml:space="preserve"> accused of robbing a bank. Unlike his co-defendant’s -- who were </w:t>
      </w:r>
      <w:r w:rsidR="00D53274" w:rsidRPr="00D03A6A">
        <w:rPr>
          <w:rFonts w:asciiTheme="minorHAnsi" w:hAnsiTheme="minorHAnsi" w:cstheme="minorHAnsi"/>
          <w:color w:val="000000"/>
          <w:bdr w:val="none" w:sz="0" w:space="0" w:color="auto" w:frame="1"/>
        </w:rPr>
        <w:t xml:space="preserve">promptly </w:t>
      </w:r>
      <w:r w:rsidR="00623F30" w:rsidRPr="00D03A6A">
        <w:rPr>
          <w:rFonts w:asciiTheme="minorHAnsi" w:hAnsiTheme="minorHAnsi" w:cstheme="minorHAnsi"/>
          <w:color w:val="000000"/>
          <w:bdr w:val="none" w:sz="0" w:space="0" w:color="auto" w:frame="1"/>
        </w:rPr>
        <w:t xml:space="preserve">arrested, charged, and pleaded guilty -- the defendant was not identified as one of the robbers for nearly a year and a half following the crime. </w:t>
      </w:r>
      <w:r w:rsidR="00075B10" w:rsidRPr="00D03A6A">
        <w:rPr>
          <w:rFonts w:asciiTheme="minorHAnsi" w:hAnsiTheme="minorHAnsi" w:cstheme="minorHAnsi"/>
          <w:color w:val="000000"/>
          <w:bdr w:val="none" w:sz="0" w:space="0" w:color="auto" w:frame="1"/>
        </w:rPr>
        <w:t xml:space="preserve">Ultimately, three bank employees were able to identify him in photo arrays. </w:t>
      </w:r>
    </w:p>
    <w:p w14:paraId="4DFAA0AA" w14:textId="00264CA0" w:rsidR="0025441B" w:rsidRPr="00D03A6A" w:rsidRDefault="00075B10" w:rsidP="00110EFB">
      <w:pPr>
        <w:pStyle w:val="NormalWeb"/>
        <w:shd w:val="clear" w:color="auto" w:fill="FFFFFF"/>
        <w:spacing w:before="0" w:after="0"/>
        <w:textAlignment w:val="baseline"/>
        <w:rPr>
          <w:rFonts w:asciiTheme="minorHAnsi" w:hAnsiTheme="minorHAnsi" w:cstheme="minorHAnsi"/>
          <w:color w:val="000000"/>
          <w:bdr w:val="none" w:sz="0" w:space="0" w:color="auto" w:frame="1"/>
        </w:rPr>
      </w:pPr>
      <w:r w:rsidRPr="00D03A6A">
        <w:rPr>
          <w:rFonts w:asciiTheme="minorHAnsi" w:hAnsiTheme="minorHAnsi" w:cstheme="minorHAnsi"/>
          <w:color w:val="000000"/>
          <w:bdr w:val="none" w:sz="0" w:space="0" w:color="auto" w:frame="1"/>
        </w:rPr>
        <w:t xml:space="preserve">Prior to trial, recognizing that his in-court identification was likely inevitable, the defense made a </w:t>
      </w:r>
      <w:r w:rsidR="003B5013" w:rsidRPr="00D03A6A">
        <w:rPr>
          <w:rFonts w:asciiTheme="minorHAnsi" w:hAnsiTheme="minorHAnsi" w:cstheme="minorHAnsi"/>
          <w:i/>
          <w:iCs/>
          <w:color w:val="000000"/>
          <w:bdr w:val="none" w:sz="0" w:space="0" w:color="auto" w:frame="1"/>
        </w:rPr>
        <w:t>Williams</w:t>
      </w:r>
      <w:r w:rsidR="003B5013" w:rsidRPr="00D03A6A">
        <w:rPr>
          <w:rFonts w:asciiTheme="minorHAnsi" w:hAnsiTheme="minorHAnsi" w:cstheme="minorHAnsi"/>
          <w:color w:val="000000"/>
          <w:bdr w:val="none" w:sz="0" w:space="0" w:color="auto" w:frame="1"/>
        </w:rPr>
        <w:t>-like</w:t>
      </w:r>
      <w:r w:rsidRPr="00D03A6A">
        <w:rPr>
          <w:rFonts w:asciiTheme="minorHAnsi" w:hAnsiTheme="minorHAnsi" w:cstheme="minorHAnsi"/>
          <w:color w:val="000000"/>
          <w:bdr w:val="none" w:sz="0" w:space="0" w:color="auto" w:frame="1"/>
        </w:rPr>
        <w:t xml:space="preserve"> request. Specifically, </w:t>
      </w:r>
      <w:r w:rsidR="00D53274" w:rsidRPr="00D03A6A">
        <w:rPr>
          <w:rFonts w:asciiTheme="minorHAnsi" w:hAnsiTheme="minorHAnsi" w:cstheme="minorHAnsi"/>
          <w:color w:val="000000"/>
          <w:bdr w:val="none" w:sz="0" w:space="0" w:color="auto" w:frame="1"/>
        </w:rPr>
        <w:t xml:space="preserve">at his client’s insistence, </w:t>
      </w:r>
      <w:r w:rsidRPr="00D03A6A">
        <w:rPr>
          <w:rFonts w:asciiTheme="minorHAnsi" w:hAnsiTheme="minorHAnsi" w:cstheme="minorHAnsi"/>
          <w:color w:val="000000"/>
          <w:bdr w:val="none" w:sz="0" w:space="0" w:color="auto" w:frame="1"/>
        </w:rPr>
        <w:t>counsel requested that during the bank employees’ testimony, the defendant</w:t>
      </w:r>
      <w:r w:rsidR="00EB7B39" w:rsidRPr="00D03A6A">
        <w:rPr>
          <w:rFonts w:asciiTheme="minorHAnsi" w:hAnsiTheme="minorHAnsi" w:cstheme="minorHAnsi"/>
          <w:color w:val="000000"/>
          <w:bdr w:val="none" w:sz="0" w:space="0" w:color="auto" w:frame="1"/>
        </w:rPr>
        <w:t xml:space="preserve"> -- an African American male -- </w:t>
      </w:r>
      <w:r w:rsidRPr="00D03A6A">
        <w:rPr>
          <w:rFonts w:asciiTheme="minorHAnsi" w:hAnsiTheme="minorHAnsi" w:cstheme="minorHAnsi"/>
          <w:color w:val="000000"/>
          <w:bdr w:val="none" w:sz="0" w:space="0" w:color="auto" w:frame="1"/>
        </w:rPr>
        <w:t xml:space="preserve">be seated with five or six </w:t>
      </w:r>
      <w:r w:rsidR="00EB7B39" w:rsidRPr="00D03A6A">
        <w:rPr>
          <w:rFonts w:asciiTheme="minorHAnsi" w:hAnsiTheme="minorHAnsi" w:cstheme="minorHAnsi"/>
          <w:color w:val="000000"/>
          <w:bdr w:val="none" w:sz="0" w:space="0" w:color="auto" w:frame="1"/>
        </w:rPr>
        <w:t>other African American males</w:t>
      </w:r>
      <w:r w:rsidR="0025441B" w:rsidRPr="00D03A6A">
        <w:rPr>
          <w:rFonts w:asciiTheme="minorHAnsi" w:hAnsiTheme="minorHAnsi" w:cstheme="minorHAnsi"/>
          <w:color w:val="000000"/>
          <w:bdr w:val="none" w:sz="0" w:space="0" w:color="auto" w:frame="1"/>
        </w:rPr>
        <w:t xml:space="preserve"> in the gallery</w:t>
      </w:r>
      <w:r w:rsidR="00EB7B39" w:rsidRPr="00D03A6A">
        <w:rPr>
          <w:rFonts w:asciiTheme="minorHAnsi" w:hAnsiTheme="minorHAnsi" w:cstheme="minorHAnsi"/>
          <w:color w:val="000000"/>
          <w:bdr w:val="none" w:sz="0" w:space="0" w:color="auto" w:frame="1"/>
        </w:rPr>
        <w:t xml:space="preserve">. The trial court </w:t>
      </w:r>
      <w:r w:rsidR="00D53274" w:rsidRPr="00D03A6A">
        <w:rPr>
          <w:rFonts w:asciiTheme="minorHAnsi" w:hAnsiTheme="minorHAnsi" w:cstheme="minorHAnsi"/>
          <w:color w:val="000000"/>
          <w:bdr w:val="none" w:sz="0" w:space="0" w:color="auto" w:frame="1"/>
        </w:rPr>
        <w:t>declined, saying</w:t>
      </w:r>
      <w:r w:rsidR="00EB7B39" w:rsidRPr="00D03A6A">
        <w:rPr>
          <w:rFonts w:asciiTheme="minorHAnsi" w:hAnsiTheme="minorHAnsi" w:cstheme="minorHAnsi"/>
          <w:color w:val="000000"/>
          <w:bdr w:val="none" w:sz="0" w:space="0" w:color="auto" w:frame="1"/>
        </w:rPr>
        <w:t xml:space="preserve">, “this is not a lineup. This is a trial. And that request is just </w:t>
      </w:r>
      <w:proofErr w:type="gramStart"/>
      <w:r w:rsidR="00EB7B39" w:rsidRPr="00D03A6A">
        <w:rPr>
          <w:rFonts w:asciiTheme="minorHAnsi" w:hAnsiTheme="minorHAnsi" w:cstheme="minorHAnsi"/>
          <w:color w:val="000000"/>
          <w:bdr w:val="none" w:sz="0" w:space="0" w:color="auto" w:frame="1"/>
        </w:rPr>
        <w:t>absolutely inappropriate</w:t>
      </w:r>
      <w:proofErr w:type="gramEnd"/>
      <w:r w:rsidR="00EB7B39" w:rsidRPr="00D03A6A">
        <w:rPr>
          <w:rFonts w:asciiTheme="minorHAnsi" w:hAnsiTheme="minorHAnsi" w:cstheme="minorHAnsi"/>
          <w:color w:val="000000"/>
          <w:bdr w:val="none" w:sz="0" w:space="0" w:color="auto" w:frame="1"/>
        </w:rPr>
        <w:t>” (</w:t>
      </w:r>
      <w:r w:rsidR="00EB7B39" w:rsidRPr="00D03A6A">
        <w:rPr>
          <w:rFonts w:asciiTheme="minorHAnsi" w:hAnsiTheme="minorHAnsi" w:cstheme="minorHAnsi"/>
          <w:i/>
          <w:iCs/>
          <w:color w:val="000000"/>
          <w:bdr w:val="none" w:sz="0" w:space="0" w:color="auto" w:frame="1"/>
        </w:rPr>
        <w:t>Archibald</w:t>
      </w:r>
      <w:r w:rsidR="00EB7B39" w:rsidRPr="00D03A6A">
        <w:rPr>
          <w:rFonts w:asciiTheme="minorHAnsi" w:hAnsiTheme="minorHAnsi" w:cstheme="minorHAnsi"/>
          <w:color w:val="000000"/>
          <w:bdr w:val="none" w:sz="0" w:space="0" w:color="auto" w:frame="1"/>
        </w:rPr>
        <w:t xml:space="preserve">, 941). The defendant was </w:t>
      </w:r>
      <w:r w:rsidR="0025441B" w:rsidRPr="00D03A6A">
        <w:rPr>
          <w:rFonts w:asciiTheme="minorHAnsi" w:hAnsiTheme="minorHAnsi" w:cstheme="minorHAnsi"/>
          <w:color w:val="000000"/>
          <w:bdr w:val="none" w:sz="0" w:space="0" w:color="auto" w:frame="1"/>
        </w:rPr>
        <w:t xml:space="preserve">identified by all three witnesses and subsequently </w:t>
      </w:r>
      <w:r w:rsidR="00EB7B39" w:rsidRPr="00D03A6A">
        <w:rPr>
          <w:rFonts w:asciiTheme="minorHAnsi" w:hAnsiTheme="minorHAnsi" w:cstheme="minorHAnsi"/>
          <w:color w:val="000000"/>
          <w:bdr w:val="none" w:sz="0" w:space="0" w:color="auto" w:frame="1"/>
        </w:rPr>
        <w:t xml:space="preserve">convicted. </w:t>
      </w:r>
      <w:r w:rsidRPr="00D03A6A">
        <w:rPr>
          <w:rFonts w:asciiTheme="minorHAnsi" w:hAnsiTheme="minorHAnsi" w:cstheme="minorHAnsi"/>
          <w:color w:val="000000"/>
          <w:bdr w:val="none" w:sz="0" w:space="0" w:color="auto" w:frame="1"/>
        </w:rPr>
        <w:t xml:space="preserve">   </w:t>
      </w:r>
      <w:r w:rsidR="00623F30" w:rsidRPr="00D03A6A">
        <w:rPr>
          <w:rFonts w:asciiTheme="minorHAnsi" w:hAnsiTheme="minorHAnsi" w:cstheme="minorHAnsi"/>
          <w:color w:val="000000"/>
          <w:bdr w:val="none" w:sz="0" w:space="0" w:color="auto" w:frame="1"/>
        </w:rPr>
        <w:t xml:space="preserve">   </w:t>
      </w:r>
    </w:p>
    <w:p w14:paraId="3C718755" w14:textId="5C5172BF" w:rsidR="00F21748" w:rsidRPr="00D03A6A" w:rsidRDefault="00EB7B39" w:rsidP="00110EFB">
      <w:pPr>
        <w:pStyle w:val="NormalWeb"/>
        <w:shd w:val="clear" w:color="auto" w:fill="FFFFFF"/>
        <w:spacing w:before="0" w:after="0"/>
        <w:textAlignment w:val="baseline"/>
        <w:rPr>
          <w:rFonts w:asciiTheme="minorHAnsi" w:hAnsiTheme="minorHAnsi" w:cstheme="minorHAnsi"/>
          <w:color w:val="242424"/>
        </w:rPr>
      </w:pPr>
      <w:r w:rsidRPr="00D03A6A">
        <w:rPr>
          <w:rFonts w:asciiTheme="minorHAnsi" w:hAnsiTheme="minorHAnsi" w:cstheme="minorHAnsi"/>
          <w:color w:val="242424"/>
        </w:rPr>
        <w:t>On appeal</w:t>
      </w:r>
      <w:r w:rsidR="009014D5">
        <w:rPr>
          <w:rFonts w:asciiTheme="minorHAnsi" w:hAnsiTheme="minorHAnsi" w:cstheme="minorHAnsi"/>
          <w:color w:val="242424"/>
        </w:rPr>
        <w:t>,</w:t>
      </w:r>
      <w:r w:rsidRPr="00D03A6A">
        <w:rPr>
          <w:rFonts w:asciiTheme="minorHAnsi" w:hAnsiTheme="minorHAnsi" w:cstheme="minorHAnsi"/>
          <w:color w:val="242424"/>
        </w:rPr>
        <w:t xml:space="preserve"> he argue</w:t>
      </w:r>
      <w:r w:rsidR="0025441B" w:rsidRPr="00D03A6A">
        <w:rPr>
          <w:rFonts w:asciiTheme="minorHAnsi" w:hAnsiTheme="minorHAnsi" w:cstheme="minorHAnsi"/>
          <w:color w:val="242424"/>
        </w:rPr>
        <w:t xml:space="preserve">d that the in-court identification was suggestive and that the trial court was wrong to deny his request. The Second Circuit said that </w:t>
      </w:r>
      <w:r w:rsidR="00D53274" w:rsidRPr="00D03A6A">
        <w:rPr>
          <w:rFonts w:asciiTheme="minorHAnsi" w:hAnsiTheme="minorHAnsi" w:cstheme="minorHAnsi"/>
          <w:color w:val="242424"/>
        </w:rPr>
        <w:t>while</w:t>
      </w:r>
      <w:r w:rsidR="0025441B" w:rsidRPr="00D03A6A">
        <w:rPr>
          <w:rFonts w:asciiTheme="minorHAnsi" w:hAnsiTheme="minorHAnsi" w:cstheme="minorHAnsi"/>
          <w:color w:val="242424"/>
        </w:rPr>
        <w:t xml:space="preserve"> </w:t>
      </w:r>
      <w:r w:rsidR="00091CDF" w:rsidRPr="00D03A6A">
        <w:rPr>
          <w:rFonts w:asciiTheme="minorHAnsi" w:hAnsiTheme="minorHAnsi" w:cstheme="minorHAnsi"/>
          <w:color w:val="242424"/>
        </w:rPr>
        <w:t>common</w:t>
      </w:r>
      <w:r w:rsidR="00D53274" w:rsidRPr="00D03A6A">
        <w:rPr>
          <w:rFonts w:asciiTheme="minorHAnsi" w:hAnsiTheme="minorHAnsi" w:cstheme="minorHAnsi"/>
          <w:color w:val="242424"/>
        </w:rPr>
        <w:t>,</w:t>
      </w:r>
      <w:r w:rsidR="0025441B" w:rsidRPr="00D03A6A">
        <w:rPr>
          <w:rFonts w:asciiTheme="minorHAnsi" w:hAnsiTheme="minorHAnsi" w:cstheme="minorHAnsi"/>
          <w:color w:val="242424"/>
        </w:rPr>
        <w:t xml:space="preserve"> in-court identification</w:t>
      </w:r>
      <w:r w:rsidR="00D53274" w:rsidRPr="00D03A6A">
        <w:rPr>
          <w:rFonts w:asciiTheme="minorHAnsi" w:hAnsiTheme="minorHAnsi" w:cstheme="minorHAnsi"/>
          <w:color w:val="242424"/>
        </w:rPr>
        <w:t xml:space="preserve">s can still be suggestive and </w:t>
      </w:r>
      <w:r w:rsidR="0025441B" w:rsidRPr="00D03A6A">
        <w:rPr>
          <w:rFonts w:asciiTheme="minorHAnsi" w:hAnsiTheme="minorHAnsi" w:cstheme="minorHAnsi"/>
          <w:color w:val="242424"/>
        </w:rPr>
        <w:t>here it was</w:t>
      </w:r>
      <w:r w:rsidR="00FD5F0E">
        <w:rPr>
          <w:rFonts w:asciiTheme="minorHAnsi" w:hAnsiTheme="minorHAnsi" w:cstheme="minorHAnsi"/>
          <w:color w:val="242424"/>
        </w:rPr>
        <w:t>,</w:t>
      </w:r>
      <w:r w:rsidR="0025441B" w:rsidRPr="00D03A6A">
        <w:rPr>
          <w:rFonts w:asciiTheme="minorHAnsi" w:hAnsiTheme="minorHAnsi" w:cstheme="minorHAnsi"/>
          <w:color w:val="242424"/>
        </w:rPr>
        <w:t xml:space="preserve"> “so clearly suggestive as to be impermissible” (</w:t>
      </w:r>
      <w:r w:rsidR="0025441B" w:rsidRPr="00D03A6A">
        <w:rPr>
          <w:rFonts w:asciiTheme="minorHAnsi" w:hAnsiTheme="minorHAnsi" w:cstheme="minorHAnsi"/>
          <w:i/>
          <w:iCs/>
          <w:color w:val="242424"/>
        </w:rPr>
        <w:t>Archibald</w:t>
      </w:r>
      <w:r w:rsidR="0025441B" w:rsidRPr="00D03A6A">
        <w:rPr>
          <w:rFonts w:asciiTheme="minorHAnsi" w:hAnsiTheme="minorHAnsi" w:cstheme="minorHAnsi"/>
          <w:color w:val="242424"/>
        </w:rPr>
        <w:t xml:space="preserve">, at 942-943). </w:t>
      </w:r>
      <w:r w:rsidR="009014D5">
        <w:rPr>
          <w:rFonts w:asciiTheme="minorHAnsi" w:hAnsiTheme="minorHAnsi" w:cstheme="minorHAnsi"/>
          <w:color w:val="242424"/>
        </w:rPr>
        <w:t>“T</w:t>
      </w:r>
      <w:r w:rsidR="0025441B" w:rsidRPr="00D03A6A">
        <w:rPr>
          <w:rFonts w:asciiTheme="minorHAnsi" w:hAnsiTheme="minorHAnsi" w:cstheme="minorHAnsi"/>
          <w:color w:val="242424"/>
        </w:rPr>
        <w:t>here was no obligation to stage a lineup, but there was, however, an obligation to ensure that the in-court procedure here did not simply ‘amount to a show up’” (</w:t>
      </w:r>
      <w:r w:rsidR="00091CDF" w:rsidRPr="00D03A6A">
        <w:rPr>
          <w:rFonts w:asciiTheme="minorHAnsi" w:hAnsiTheme="minorHAnsi" w:cstheme="minorHAnsi"/>
          <w:i/>
          <w:iCs/>
          <w:color w:val="242424"/>
        </w:rPr>
        <w:t>I</w:t>
      </w:r>
      <w:r w:rsidR="0025441B" w:rsidRPr="00D03A6A">
        <w:rPr>
          <w:rFonts w:asciiTheme="minorHAnsi" w:hAnsiTheme="minorHAnsi" w:cstheme="minorHAnsi"/>
          <w:i/>
          <w:iCs/>
          <w:color w:val="242424"/>
        </w:rPr>
        <w:t>d</w:t>
      </w:r>
      <w:r w:rsidR="0025441B" w:rsidRPr="00D03A6A">
        <w:rPr>
          <w:rFonts w:asciiTheme="minorHAnsi" w:hAnsiTheme="minorHAnsi" w:cstheme="minorHAnsi"/>
          <w:color w:val="242424"/>
        </w:rPr>
        <w:t>., at</w:t>
      </w:r>
      <w:r w:rsidR="00091CDF" w:rsidRPr="00D03A6A">
        <w:rPr>
          <w:rFonts w:asciiTheme="minorHAnsi" w:hAnsiTheme="minorHAnsi" w:cstheme="minorHAnsi"/>
          <w:color w:val="242424"/>
        </w:rPr>
        <w:t xml:space="preserve"> 941). With only minimal effort and delay, the courtroom could have been rearranged and the defendant seated elsewhere. A</w:t>
      </w:r>
      <w:r w:rsidR="00D53274" w:rsidRPr="00D03A6A">
        <w:rPr>
          <w:rFonts w:asciiTheme="minorHAnsi" w:hAnsiTheme="minorHAnsi" w:cstheme="minorHAnsi"/>
          <w:color w:val="242424"/>
        </w:rPr>
        <w:t>ccordingly,</w:t>
      </w:r>
      <w:r w:rsidR="00091CDF" w:rsidRPr="00D03A6A">
        <w:rPr>
          <w:rFonts w:asciiTheme="minorHAnsi" w:hAnsiTheme="minorHAnsi" w:cstheme="minorHAnsi"/>
          <w:color w:val="242424"/>
        </w:rPr>
        <w:t xml:space="preserve"> </w:t>
      </w:r>
      <w:r w:rsidR="00091CDF" w:rsidRPr="00D03A6A">
        <w:rPr>
          <w:rFonts w:asciiTheme="minorHAnsi" w:hAnsiTheme="minorHAnsi" w:cstheme="minorHAnsi"/>
          <w:i/>
          <w:iCs/>
          <w:color w:val="242424"/>
        </w:rPr>
        <w:t>Archibald</w:t>
      </w:r>
      <w:r w:rsidR="00091CDF" w:rsidRPr="00D03A6A">
        <w:rPr>
          <w:rFonts w:asciiTheme="minorHAnsi" w:hAnsiTheme="minorHAnsi" w:cstheme="minorHAnsi"/>
          <w:color w:val="242424"/>
        </w:rPr>
        <w:t xml:space="preserve"> said </w:t>
      </w:r>
      <w:r w:rsidR="00F21748" w:rsidRPr="00D03A6A">
        <w:rPr>
          <w:rFonts w:asciiTheme="minorHAnsi" w:hAnsiTheme="minorHAnsi" w:cstheme="minorHAnsi"/>
          <w:color w:val="242424"/>
        </w:rPr>
        <w:t xml:space="preserve">that </w:t>
      </w:r>
      <w:r w:rsidR="00D53274" w:rsidRPr="00D03A6A">
        <w:rPr>
          <w:rFonts w:asciiTheme="minorHAnsi" w:hAnsiTheme="minorHAnsi" w:cstheme="minorHAnsi"/>
          <w:color w:val="242424"/>
        </w:rPr>
        <w:t>the</w:t>
      </w:r>
      <w:r w:rsidR="00091CDF" w:rsidRPr="00D03A6A">
        <w:rPr>
          <w:rFonts w:asciiTheme="minorHAnsi" w:hAnsiTheme="minorHAnsi" w:cstheme="minorHAnsi"/>
          <w:color w:val="242424"/>
        </w:rPr>
        <w:t xml:space="preserve"> request </w:t>
      </w:r>
      <w:r w:rsidR="00F21748" w:rsidRPr="00D03A6A">
        <w:rPr>
          <w:rFonts w:asciiTheme="minorHAnsi" w:hAnsiTheme="minorHAnsi" w:cstheme="minorHAnsi"/>
          <w:color w:val="242424"/>
        </w:rPr>
        <w:t>“</w:t>
      </w:r>
      <w:r w:rsidR="00091CDF" w:rsidRPr="00D03A6A">
        <w:rPr>
          <w:rFonts w:asciiTheme="minorHAnsi" w:hAnsiTheme="minorHAnsi" w:cstheme="minorHAnsi"/>
          <w:color w:val="242424"/>
        </w:rPr>
        <w:t xml:space="preserve">should not </w:t>
      </w:r>
      <w:r w:rsidR="00F21748" w:rsidRPr="00D03A6A">
        <w:rPr>
          <w:rFonts w:asciiTheme="minorHAnsi" w:hAnsiTheme="minorHAnsi" w:cstheme="minorHAnsi"/>
          <w:color w:val="242424"/>
        </w:rPr>
        <w:t xml:space="preserve">have </w:t>
      </w:r>
      <w:r w:rsidR="00091CDF" w:rsidRPr="00D03A6A">
        <w:rPr>
          <w:rFonts w:asciiTheme="minorHAnsi" w:hAnsiTheme="minorHAnsi" w:cstheme="minorHAnsi"/>
          <w:color w:val="242424"/>
        </w:rPr>
        <w:t>be</w:t>
      </w:r>
      <w:r w:rsidR="00F21748" w:rsidRPr="00D03A6A">
        <w:rPr>
          <w:rFonts w:asciiTheme="minorHAnsi" w:hAnsiTheme="minorHAnsi" w:cstheme="minorHAnsi"/>
          <w:color w:val="242424"/>
        </w:rPr>
        <w:t>en</w:t>
      </w:r>
      <w:r w:rsidR="00091CDF" w:rsidRPr="00D03A6A">
        <w:rPr>
          <w:rFonts w:asciiTheme="minorHAnsi" w:hAnsiTheme="minorHAnsi" w:cstheme="minorHAnsi"/>
          <w:color w:val="242424"/>
        </w:rPr>
        <w:t xml:space="preserve"> dismissed so quickly or absolutely</w:t>
      </w:r>
      <w:r w:rsidR="00F21748" w:rsidRPr="00D03A6A">
        <w:rPr>
          <w:rFonts w:asciiTheme="minorHAnsi" w:hAnsiTheme="minorHAnsi" w:cstheme="minorHAnsi"/>
          <w:color w:val="242424"/>
        </w:rPr>
        <w:t xml:space="preserve"> by the trial court</w:t>
      </w:r>
      <w:r w:rsidR="00091CDF" w:rsidRPr="00D03A6A">
        <w:rPr>
          <w:rFonts w:asciiTheme="minorHAnsi" w:hAnsiTheme="minorHAnsi" w:cstheme="minorHAnsi"/>
          <w:color w:val="242424"/>
        </w:rPr>
        <w:t>”</w:t>
      </w:r>
      <w:r w:rsidR="00F21748" w:rsidRPr="00D03A6A">
        <w:rPr>
          <w:rFonts w:asciiTheme="minorHAnsi" w:hAnsiTheme="minorHAnsi" w:cstheme="minorHAnsi"/>
          <w:color w:val="242424"/>
        </w:rPr>
        <w:t xml:space="preserve"> (</w:t>
      </w:r>
      <w:r w:rsidR="00F21748" w:rsidRPr="00D03A6A">
        <w:rPr>
          <w:rFonts w:asciiTheme="minorHAnsi" w:hAnsiTheme="minorHAnsi" w:cstheme="minorHAnsi"/>
          <w:i/>
          <w:iCs/>
          <w:color w:val="242424"/>
        </w:rPr>
        <w:t>Id</w:t>
      </w:r>
      <w:r w:rsidR="00F21748" w:rsidRPr="00D03A6A">
        <w:rPr>
          <w:rFonts w:asciiTheme="minorHAnsi" w:hAnsiTheme="minorHAnsi" w:cstheme="minorHAnsi"/>
          <w:color w:val="242424"/>
        </w:rPr>
        <w:t xml:space="preserve">., at 942). The Court ultimately found the error was harmless </w:t>
      </w:r>
      <w:r w:rsidR="00471E50">
        <w:rPr>
          <w:rFonts w:asciiTheme="minorHAnsi" w:hAnsiTheme="minorHAnsi" w:cstheme="minorHAnsi"/>
          <w:color w:val="242424"/>
        </w:rPr>
        <w:t xml:space="preserve">given </w:t>
      </w:r>
      <w:r w:rsidR="00F21748" w:rsidRPr="00D03A6A">
        <w:rPr>
          <w:rFonts w:asciiTheme="minorHAnsi" w:hAnsiTheme="minorHAnsi" w:cstheme="minorHAnsi"/>
          <w:color w:val="242424"/>
        </w:rPr>
        <w:t>the strength of additional identification evidence.</w:t>
      </w:r>
      <w:r w:rsidR="00091CDF" w:rsidRPr="00D03A6A">
        <w:rPr>
          <w:rFonts w:asciiTheme="minorHAnsi" w:hAnsiTheme="minorHAnsi" w:cstheme="minorHAnsi"/>
          <w:color w:val="242424"/>
        </w:rPr>
        <w:t xml:space="preserve"> </w:t>
      </w:r>
      <w:r w:rsidR="0025441B" w:rsidRPr="00D03A6A">
        <w:rPr>
          <w:rFonts w:asciiTheme="minorHAnsi" w:hAnsiTheme="minorHAnsi" w:cstheme="minorHAnsi"/>
          <w:color w:val="242424"/>
        </w:rPr>
        <w:t xml:space="preserve">   </w:t>
      </w:r>
    </w:p>
    <w:p w14:paraId="6D16B649" w14:textId="0F80896C" w:rsidR="00A8288C" w:rsidRPr="00D03A6A" w:rsidRDefault="000514D9" w:rsidP="00110EFB">
      <w:pPr>
        <w:pStyle w:val="NormalWeb"/>
        <w:shd w:val="clear" w:color="auto" w:fill="FFFFFF"/>
        <w:spacing w:before="0" w:after="0"/>
        <w:textAlignment w:val="baseline"/>
        <w:rPr>
          <w:rFonts w:asciiTheme="minorHAnsi" w:hAnsiTheme="minorHAnsi" w:cstheme="minorHAnsi"/>
          <w:color w:val="242424"/>
        </w:rPr>
      </w:pPr>
      <w:r w:rsidRPr="00D03A6A">
        <w:rPr>
          <w:rFonts w:asciiTheme="minorHAnsi" w:hAnsiTheme="minorHAnsi" w:cstheme="minorHAnsi"/>
          <w:color w:val="242424"/>
        </w:rPr>
        <w:t xml:space="preserve">Of course, neither </w:t>
      </w:r>
      <w:r w:rsidRPr="00D03A6A">
        <w:rPr>
          <w:rFonts w:asciiTheme="minorHAnsi" w:hAnsiTheme="minorHAnsi" w:cstheme="minorHAnsi"/>
          <w:i/>
          <w:iCs/>
          <w:color w:val="242424"/>
        </w:rPr>
        <w:t>Williams</w:t>
      </w:r>
      <w:r w:rsidRPr="00D03A6A">
        <w:rPr>
          <w:rFonts w:asciiTheme="minorHAnsi" w:hAnsiTheme="minorHAnsi" w:cstheme="minorHAnsi"/>
          <w:color w:val="242424"/>
        </w:rPr>
        <w:t xml:space="preserve"> nor </w:t>
      </w:r>
      <w:r w:rsidR="00A8288C" w:rsidRPr="00D03A6A">
        <w:rPr>
          <w:rFonts w:asciiTheme="minorHAnsi" w:hAnsiTheme="minorHAnsi" w:cstheme="minorHAnsi"/>
          <w:i/>
          <w:iCs/>
          <w:color w:val="242424"/>
        </w:rPr>
        <w:t>Archibald</w:t>
      </w:r>
      <w:r w:rsidR="00A8288C" w:rsidRPr="00D03A6A">
        <w:rPr>
          <w:rFonts w:asciiTheme="minorHAnsi" w:hAnsiTheme="minorHAnsi" w:cstheme="minorHAnsi"/>
          <w:color w:val="242424"/>
        </w:rPr>
        <w:t xml:space="preserve"> </w:t>
      </w:r>
      <w:r w:rsidRPr="00D03A6A">
        <w:rPr>
          <w:rFonts w:asciiTheme="minorHAnsi" w:hAnsiTheme="minorHAnsi" w:cstheme="minorHAnsi"/>
          <w:color w:val="242424"/>
        </w:rPr>
        <w:t>involve a first-time</w:t>
      </w:r>
      <w:r w:rsidR="00471E50">
        <w:rPr>
          <w:rFonts w:asciiTheme="minorHAnsi" w:hAnsiTheme="minorHAnsi" w:cstheme="minorHAnsi"/>
          <w:color w:val="242424"/>
        </w:rPr>
        <w:t>,</w:t>
      </w:r>
      <w:r w:rsidRPr="00D03A6A">
        <w:rPr>
          <w:rFonts w:asciiTheme="minorHAnsi" w:hAnsiTheme="minorHAnsi" w:cstheme="minorHAnsi"/>
          <w:color w:val="242424"/>
        </w:rPr>
        <w:t xml:space="preserve"> in-court identification. They </w:t>
      </w:r>
      <w:r w:rsidR="009014D5">
        <w:rPr>
          <w:rFonts w:asciiTheme="minorHAnsi" w:hAnsiTheme="minorHAnsi" w:cstheme="minorHAnsi"/>
          <w:color w:val="242424"/>
        </w:rPr>
        <w:t>were concerned simply with</w:t>
      </w:r>
      <w:r w:rsidRPr="00D03A6A">
        <w:rPr>
          <w:rFonts w:asciiTheme="minorHAnsi" w:hAnsiTheme="minorHAnsi" w:cstheme="minorHAnsi"/>
          <w:color w:val="242424"/>
        </w:rPr>
        <w:t xml:space="preserve"> the </w:t>
      </w:r>
      <w:r w:rsidR="009014D5">
        <w:rPr>
          <w:rFonts w:asciiTheme="minorHAnsi" w:hAnsiTheme="minorHAnsi" w:cstheme="minorHAnsi"/>
          <w:color w:val="242424"/>
        </w:rPr>
        <w:t>trials court’s willingness to indulge a request for</w:t>
      </w:r>
      <w:r w:rsidRPr="00D03A6A">
        <w:rPr>
          <w:rFonts w:asciiTheme="minorHAnsi" w:hAnsiTheme="minorHAnsi" w:cstheme="minorHAnsi"/>
          <w:color w:val="242424"/>
        </w:rPr>
        <w:t xml:space="preserve"> a special identification procedure. I</w:t>
      </w:r>
      <w:r w:rsidR="009014D5">
        <w:rPr>
          <w:rFonts w:asciiTheme="minorHAnsi" w:hAnsiTheme="minorHAnsi" w:cstheme="minorHAnsi"/>
          <w:color w:val="242424"/>
        </w:rPr>
        <w:t xml:space="preserve">nasmuch as </w:t>
      </w:r>
      <w:r w:rsidR="009014D5" w:rsidRPr="009014D5">
        <w:rPr>
          <w:rFonts w:asciiTheme="minorHAnsi" w:hAnsiTheme="minorHAnsi" w:cstheme="minorHAnsi"/>
          <w:i/>
          <w:iCs/>
          <w:color w:val="242424"/>
        </w:rPr>
        <w:t>Williams</w:t>
      </w:r>
      <w:r w:rsidR="009014D5">
        <w:rPr>
          <w:rFonts w:asciiTheme="minorHAnsi" w:hAnsiTheme="minorHAnsi" w:cstheme="minorHAnsi"/>
          <w:color w:val="242424"/>
        </w:rPr>
        <w:t xml:space="preserve"> held no such right exists, and </w:t>
      </w:r>
      <w:r w:rsidR="009014D5" w:rsidRPr="009014D5">
        <w:rPr>
          <w:rFonts w:asciiTheme="minorHAnsi" w:hAnsiTheme="minorHAnsi" w:cstheme="minorHAnsi"/>
          <w:i/>
          <w:iCs/>
          <w:color w:val="242424"/>
        </w:rPr>
        <w:t>Archibald</w:t>
      </w:r>
      <w:r w:rsidR="009014D5">
        <w:rPr>
          <w:rFonts w:asciiTheme="minorHAnsi" w:hAnsiTheme="minorHAnsi" w:cstheme="minorHAnsi"/>
          <w:color w:val="242424"/>
        </w:rPr>
        <w:t xml:space="preserve"> held the error was harmless, </w:t>
      </w:r>
      <w:r w:rsidR="0023573B">
        <w:rPr>
          <w:rFonts w:asciiTheme="minorHAnsi" w:hAnsiTheme="minorHAnsi" w:cstheme="minorHAnsi"/>
          <w:color w:val="242424"/>
        </w:rPr>
        <w:t xml:space="preserve">whether the identification was occurring for the first </w:t>
      </w:r>
      <w:proofErr w:type="gramStart"/>
      <w:r w:rsidR="0023573B">
        <w:rPr>
          <w:rFonts w:asciiTheme="minorHAnsi" w:hAnsiTheme="minorHAnsi" w:cstheme="minorHAnsi"/>
          <w:color w:val="242424"/>
        </w:rPr>
        <w:t>time</w:t>
      </w:r>
      <w:proofErr w:type="gramEnd"/>
      <w:r w:rsidR="0023573B">
        <w:rPr>
          <w:rFonts w:asciiTheme="minorHAnsi" w:hAnsiTheme="minorHAnsi" w:cstheme="minorHAnsi"/>
          <w:color w:val="242424"/>
        </w:rPr>
        <w:t xml:space="preserve"> or the tenth would likely not have changed the outcome.</w:t>
      </w:r>
    </w:p>
    <w:p w14:paraId="49165C36" w14:textId="2E158A68" w:rsidR="006F4609" w:rsidRPr="00D03A6A" w:rsidRDefault="006F4609" w:rsidP="00110EFB">
      <w:pPr>
        <w:pStyle w:val="NormalWeb"/>
        <w:shd w:val="clear" w:color="auto" w:fill="FFFFFF"/>
        <w:spacing w:before="0" w:after="0"/>
        <w:textAlignment w:val="baseline"/>
        <w:rPr>
          <w:rFonts w:asciiTheme="minorHAnsi" w:hAnsiTheme="minorHAnsi" w:cstheme="minorHAnsi"/>
          <w:b/>
          <w:bCs/>
          <w:color w:val="242424"/>
        </w:rPr>
      </w:pPr>
      <w:r w:rsidRPr="00D03A6A">
        <w:rPr>
          <w:rFonts w:asciiTheme="minorHAnsi" w:hAnsiTheme="minorHAnsi" w:cstheme="minorHAnsi"/>
          <w:b/>
          <w:bCs/>
          <w:color w:val="242424"/>
        </w:rPr>
        <w:t>New York Treatment</w:t>
      </w:r>
    </w:p>
    <w:p w14:paraId="586536F2" w14:textId="7A3E8911" w:rsidR="008A6CF2" w:rsidRPr="00D03A6A" w:rsidRDefault="006F4609" w:rsidP="00110EFB">
      <w:pPr>
        <w:pStyle w:val="NormalWeb"/>
        <w:shd w:val="clear" w:color="auto" w:fill="FFFFFF"/>
        <w:spacing w:before="0" w:after="0"/>
        <w:textAlignment w:val="baseline"/>
        <w:rPr>
          <w:rFonts w:asciiTheme="minorHAnsi" w:hAnsiTheme="minorHAnsi" w:cstheme="minorHAnsi"/>
          <w:color w:val="242424"/>
        </w:rPr>
      </w:pPr>
      <w:r w:rsidRPr="00D03A6A">
        <w:rPr>
          <w:rFonts w:asciiTheme="minorHAnsi" w:hAnsiTheme="minorHAnsi" w:cstheme="minorHAnsi"/>
          <w:color w:val="242424"/>
        </w:rPr>
        <w:t>S</w:t>
      </w:r>
      <w:r w:rsidR="00F21748" w:rsidRPr="00D03A6A">
        <w:rPr>
          <w:rFonts w:asciiTheme="minorHAnsi" w:hAnsiTheme="minorHAnsi" w:cstheme="minorHAnsi"/>
          <w:color w:val="242424"/>
        </w:rPr>
        <w:t xml:space="preserve">ince </w:t>
      </w:r>
      <w:r w:rsidR="00F21748" w:rsidRPr="00D03A6A">
        <w:rPr>
          <w:rFonts w:asciiTheme="minorHAnsi" w:hAnsiTheme="minorHAnsi" w:cstheme="minorHAnsi"/>
          <w:i/>
          <w:iCs/>
          <w:color w:val="242424"/>
        </w:rPr>
        <w:t>Archibald</w:t>
      </w:r>
      <w:r w:rsidR="00F21748" w:rsidRPr="00D03A6A">
        <w:rPr>
          <w:rFonts w:asciiTheme="minorHAnsi" w:hAnsiTheme="minorHAnsi" w:cstheme="minorHAnsi"/>
          <w:color w:val="242424"/>
        </w:rPr>
        <w:t>, New York Courts</w:t>
      </w:r>
      <w:r w:rsidR="00395993" w:rsidRPr="00D03A6A">
        <w:rPr>
          <w:rFonts w:asciiTheme="minorHAnsi" w:hAnsiTheme="minorHAnsi" w:cstheme="minorHAnsi"/>
          <w:color w:val="242424"/>
        </w:rPr>
        <w:t xml:space="preserve"> have not gone out of their way to indulge these kinds of procedures</w:t>
      </w:r>
      <w:r w:rsidR="00D53274" w:rsidRPr="00D03A6A">
        <w:rPr>
          <w:rFonts w:asciiTheme="minorHAnsi" w:hAnsiTheme="minorHAnsi" w:cstheme="minorHAnsi"/>
          <w:color w:val="242424"/>
        </w:rPr>
        <w:t xml:space="preserve"> (nor does it appear that they are requested with much frequency)</w:t>
      </w:r>
      <w:r w:rsidR="00395993" w:rsidRPr="00D03A6A">
        <w:rPr>
          <w:rFonts w:asciiTheme="minorHAnsi" w:hAnsiTheme="minorHAnsi" w:cstheme="minorHAnsi"/>
          <w:color w:val="242424"/>
        </w:rPr>
        <w:t xml:space="preserve">. </w:t>
      </w:r>
      <w:r w:rsidR="00C93470" w:rsidRPr="00D03A6A">
        <w:rPr>
          <w:rFonts w:asciiTheme="minorHAnsi" w:hAnsiTheme="minorHAnsi" w:cstheme="minorHAnsi"/>
          <w:color w:val="242424"/>
        </w:rPr>
        <w:t xml:space="preserve">Courts </w:t>
      </w:r>
      <w:r w:rsidR="00395993" w:rsidRPr="00D03A6A">
        <w:rPr>
          <w:rFonts w:asciiTheme="minorHAnsi" w:hAnsiTheme="minorHAnsi" w:cstheme="minorHAnsi"/>
          <w:color w:val="242424"/>
        </w:rPr>
        <w:t>have noted that, even in the case of a first-time identification, there is no constitutional right to a lineup (</w:t>
      </w:r>
      <w:r w:rsidR="00395993" w:rsidRPr="00D03A6A">
        <w:rPr>
          <w:rFonts w:asciiTheme="minorHAnsi" w:hAnsiTheme="minorHAnsi" w:cstheme="minorHAnsi"/>
          <w:i/>
          <w:iCs/>
          <w:color w:val="242424"/>
        </w:rPr>
        <w:t>People v Bradley</w:t>
      </w:r>
      <w:r w:rsidR="00395993" w:rsidRPr="00D03A6A">
        <w:rPr>
          <w:rFonts w:asciiTheme="minorHAnsi" w:hAnsiTheme="minorHAnsi" w:cstheme="minorHAnsi"/>
          <w:color w:val="242424"/>
        </w:rPr>
        <w:t>,154 AD2d 609 [2</w:t>
      </w:r>
      <w:r w:rsidR="00395993" w:rsidRPr="00D03A6A">
        <w:rPr>
          <w:rFonts w:asciiTheme="minorHAnsi" w:hAnsiTheme="minorHAnsi" w:cstheme="minorHAnsi"/>
          <w:color w:val="242424"/>
          <w:vertAlign w:val="superscript"/>
        </w:rPr>
        <w:t>nd</w:t>
      </w:r>
      <w:r w:rsidR="00395993" w:rsidRPr="00D03A6A">
        <w:rPr>
          <w:rFonts w:asciiTheme="minorHAnsi" w:hAnsiTheme="minorHAnsi" w:cstheme="minorHAnsi"/>
          <w:color w:val="242424"/>
        </w:rPr>
        <w:t xml:space="preserve"> Dept 1989]; </w:t>
      </w:r>
      <w:r w:rsidR="00395993" w:rsidRPr="00D03A6A">
        <w:rPr>
          <w:rFonts w:asciiTheme="minorHAnsi" w:hAnsiTheme="minorHAnsi" w:cstheme="minorHAnsi"/>
          <w:i/>
          <w:iCs/>
          <w:color w:val="242424"/>
        </w:rPr>
        <w:t>Williams</w:t>
      </w:r>
      <w:r w:rsidR="00395993" w:rsidRPr="00D03A6A">
        <w:rPr>
          <w:rFonts w:asciiTheme="minorHAnsi" w:hAnsiTheme="minorHAnsi" w:cstheme="minorHAnsi"/>
          <w:color w:val="242424"/>
        </w:rPr>
        <w:t xml:space="preserve">, </w:t>
      </w:r>
      <w:r w:rsidR="003B2F48">
        <w:rPr>
          <w:rFonts w:asciiTheme="minorHAnsi" w:hAnsiTheme="minorHAnsi" w:cstheme="minorHAnsi"/>
          <w:color w:val="242424"/>
        </w:rPr>
        <w:t>at</w:t>
      </w:r>
      <w:r w:rsidR="00395993" w:rsidRPr="00D03A6A">
        <w:rPr>
          <w:rFonts w:asciiTheme="minorHAnsi" w:hAnsiTheme="minorHAnsi" w:cstheme="minorHAnsi"/>
          <w:color w:val="242424"/>
        </w:rPr>
        <w:t xml:space="preserve"> 116</w:t>
      </w:r>
      <w:r w:rsidR="003B2F48">
        <w:rPr>
          <w:rFonts w:asciiTheme="minorHAnsi" w:hAnsiTheme="minorHAnsi" w:cstheme="minorHAnsi"/>
          <w:color w:val="242424"/>
        </w:rPr>
        <w:t>8</w:t>
      </w:r>
      <w:r w:rsidR="00395993" w:rsidRPr="00D03A6A">
        <w:rPr>
          <w:rFonts w:asciiTheme="minorHAnsi" w:hAnsiTheme="minorHAnsi" w:cstheme="minorHAnsi"/>
          <w:color w:val="242424"/>
        </w:rPr>
        <w:t xml:space="preserve">). </w:t>
      </w:r>
      <w:r w:rsidR="008A6CF2" w:rsidRPr="00D03A6A">
        <w:rPr>
          <w:rFonts w:asciiTheme="minorHAnsi" w:hAnsiTheme="minorHAnsi" w:cstheme="minorHAnsi"/>
          <w:color w:val="242424"/>
        </w:rPr>
        <w:t xml:space="preserve">Like </w:t>
      </w:r>
      <w:r w:rsidR="008A6CF2" w:rsidRPr="00D03A6A">
        <w:rPr>
          <w:rFonts w:asciiTheme="minorHAnsi" w:hAnsiTheme="minorHAnsi" w:cstheme="minorHAnsi"/>
          <w:i/>
          <w:iCs/>
          <w:color w:val="242424"/>
        </w:rPr>
        <w:t>Archibald</w:t>
      </w:r>
      <w:r w:rsidR="008A6CF2" w:rsidRPr="00D03A6A">
        <w:rPr>
          <w:rFonts w:asciiTheme="minorHAnsi" w:hAnsiTheme="minorHAnsi" w:cstheme="minorHAnsi"/>
          <w:color w:val="242424"/>
        </w:rPr>
        <w:t xml:space="preserve"> itself, t</w:t>
      </w:r>
      <w:r w:rsidR="00395993" w:rsidRPr="00D03A6A">
        <w:rPr>
          <w:rFonts w:asciiTheme="minorHAnsi" w:hAnsiTheme="minorHAnsi" w:cstheme="minorHAnsi"/>
          <w:color w:val="242424"/>
        </w:rPr>
        <w:t xml:space="preserve">hey have </w:t>
      </w:r>
      <w:r w:rsidR="00C93470" w:rsidRPr="00D03A6A">
        <w:rPr>
          <w:rFonts w:asciiTheme="minorHAnsi" w:hAnsiTheme="minorHAnsi" w:cstheme="minorHAnsi"/>
          <w:color w:val="242424"/>
        </w:rPr>
        <w:t xml:space="preserve">also </w:t>
      </w:r>
      <w:r w:rsidR="00395993" w:rsidRPr="00D03A6A">
        <w:rPr>
          <w:rFonts w:asciiTheme="minorHAnsi" w:hAnsiTheme="minorHAnsi" w:cstheme="minorHAnsi"/>
          <w:color w:val="242424"/>
        </w:rPr>
        <w:t>deemed requests made during trial to be untimely (</w:t>
      </w:r>
      <w:r w:rsidR="00395993" w:rsidRPr="00D03A6A">
        <w:rPr>
          <w:rFonts w:asciiTheme="minorHAnsi" w:hAnsiTheme="minorHAnsi" w:cstheme="minorHAnsi"/>
          <w:i/>
          <w:iCs/>
          <w:color w:val="242424"/>
        </w:rPr>
        <w:t>Bradley</w:t>
      </w:r>
      <w:r w:rsidR="00395993" w:rsidRPr="00D03A6A">
        <w:rPr>
          <w:rFonts w:asciiTheme="minorHAnsi" w:hAnsiTheme="minorHAnsi" w:cstheme="minorHAnsi"/>
          <w:color w:val="242424"/>
        </w:rPr>
        <w:t xml:space="preserve">, at 609). </w:t>
      </w:r>
      <w:r w:rsidR="00C93470" w:rsidRPr="00D03A6A">
        <w:rPr>
          <w:rFonts w:asciiTheme="minorHAnsi" w:hAnsiTheme="minorHAnsi" w:cstheme="minorHAnsi"/>
          <w:color w:val="242424"/>
        </w:rPr>
        <w:t>M</w:t>
      </w:r>
      <w:r w:rsidR="00395993" w:rsidRPr="00D03A6A">
        <w:rPr>
          <w:rFonts w:asciiTheme="minorHAnsi" w:hAnsiTheme="minorHAnsi" w:cstheme="minorHAnsi"/>
          <w:color w:val="242424"/>
        </w:rPr>
        <w:t xml:space="preserve">ost frequently, they have </w:t>
      </w:r>
      <w:r w:rsidR="00A51F19" w:rsidRPr="00D03A6A">
        <w:rPr>
          <w:rFonts w:asciiTheme="minorHAnsi" w:hAnsiTheme="minorHAnsi" w:cstheme="minorHAnsi"/>
          <w:color w:val="242424"/>
        </w:rPr>
        <w:t>said that a first-time in-court identification is permissible because counsel can explore its reliability on cross</w:t>
      </w:r>
      <w:r w:rsidRPr="00D03A6A">
        <w:rPr>
          <w:rFonts w:asciiTheme="minorHAnsi" w:hAnsiTheme="minorHAnsi" w:cstheme="minorHAnsi"/>
          <w:color w:val="242424"/>
        </w:rPr>
        <w:t>-</w:t>
      </w:r>
      <w:r w:rsidR="00A51F19" w:rsidRPr="00D03A6A">
        <w:rPr>
          <w:rFonts w:asciiTheme="minorHAnsi" w:hAnsiTheme="minorHAnsi" w:cstheme="minorHAnsi"/>
          <w:color w:val="242424"/>
        </w:rPr>
        <w:t>examination (</w:t>
      </w:r>
      <w:r w:rsidR="00A51F19" w:rsidRPr="00D03A6A">
        <w:rPr>
          <w:rFonts w:asciiTheme="minorHAnsi" w:hAnsiTheme="minorHAnsi" w:cstheme="minorHAnsi"/>
          <w:i/>
          <w:iCs/>
          <w:color w:val="242424"/>
        </w:rPr>
        <w:t>Bradley</w:t>
      </w:r>
      <w:r w:rsidR="00A51F19" w:rsidRPr="00D03A6A">
        <w:rPr>
          <w:rFonts w:asciiTheme="minorHAnsi" w:hAnsiTheme="minorHAnsi" w:cstheme="minorHAnsi"/>
          <w:color w:val="242424"/>
        </w:rPr>
        <w:t xml:space="preserve">, at 609, </w:t>
      </w:r>
      <w:r w:rsidR="00A51F19" w:rsidRPr="00D03A6A">
        <w:rPr>
          <w:rFonts w:asciiTheme="minorHAnsi" w:hAnsiTheme="minorHAnsi" w:cstheme="minorHAnsi"/>
          <w:i/>
          <w:iCs/>
          <w:color w:val="242424"/>
        </w:rPr>
        <w:t>People v Farrow</w:t>
      </w:r>
      <w:r w:rsidR="00A51F19" w:rsidRPr="00D03A6A">
        <w:rPr>
          <w:rFonts w:asciiTheme="minorHAnsi" w:hAnsiTheme="minorHAnsi" w:cstheme="minorHAnsi"/>
          <w:color w:val="242424"/>
        </w:rPr>
        <w:t>, 216 AD3d 996, 998 [2</w:t>
      </w:r>
      <w:r w:rsidR="00A51F19" w:rsidRPr="00D03A6A">
        <w:rPr>
          <w:rFonts w:asciiTheme="minorHAnsi" w:hAnsiTheme="minorHAnsi" w:cstheme="minorHAnsi"/>
          <w:color w:val="242424"/>
          <w:vertAlign w:val="superscript"/>
        </w:rPr>
        <w:t>nd</w:t>
      </w:r>
      <w:r w:rsidR="00A51F19" w:rsidRPr="00D03A6A">
        <w:rPr>
          <w:rFonts w:asciiTheme="minorHAnsi" w:hAnsiTheme="minorHAnsi" w:cstheme="minorHAnsi"/>
          <w:color w:val="242424"/>
        </w:rPr>
        <w:t xml:space="preserve"> Dept 2023]</w:t>
      </w:r>
      <w:r w:rsidR="003B2F48">
        <w:rPr>
          <w:rFonts w:asciiTheme="minorHAnsi" w:hAnsiTheme="minorHAnsi" w:cstheme="minorHAnsi"/>
          <w:color w:val="242424"/>
        </w:rPr>
        <w:t>;</w:t>
      </w:r>
      <w:r w:rsidR="00A51F19" w:rsidRPr="00D03A6A">
        <w:rPr>
          <w:rFonts w:asciiTheme="minorHAnsi" w:hAnsiTheme="minorHAnsi" w:cstheme="minorHAnsi"/>
          <w:color w:val="242424"/>
        </w:rPr>
        <w:t xml:space="preserve"> </w:t>
      </w:r>
      <w:r w:rsidR="00A51F19" w:rsidRPr="00D03A6A">
        <w:rPr>
          <w:rFonts w:asciiTheme="minorHAnsi" w:hAnsiTheme="minorHAnsi" w:cstheme="minorHAnsi"/>
          <w:i/>
          <w:iCs/>
          <w:color w:val="242424"/>
        </w:rPr>
        <w:t>People v Madison</w:t>
      </w:r>
      <w:r w:rsidR="00A51F19" w:rsidRPr="00D03A6A">
        <w:rPr>
          <w:rFonts w:asciiTheme="minorHAnsi" w:hAnsiTheme="minorHAnsi" w:cstheme="minorHAnsi"/>
          <w:color w:val="242424"/>
        </w:rPr>
        <w:t>, 8 AD3d 956 [4</w:t>
      </w:r>
      <w:r w:rsidR="00A51F19" w:rsidRPr="00D03A6A">
        <w:rPr>
          <w:rFonts w:asciiTheme="minorHAnsi" w:hAnsiTheme="minorHAnsi" w:cstheme="minorHAnsi"/>
          <w:color w:val="242424"/>
          <w:vertAlign w:val="superscript"/>
        </w:rPr>
        <w:t xml:space="preserve">th </w:t>
      </w:r>
      <w:r w:rsidR="00A51F19" w:rsidRPr="00D03A6A">
        <w:rPr>
          <w:rFonts w:asciiTheme="minorHAnsi" w:hAnsiTheme="minorHAnsi" w:cstheme="minorHAnsi"/>
          <w:color w:val="242424"/>
        </w:rPr>
        <w:t xml:space="preserve">Dept 2004). </w:t>
      </w:r>
      <w:r w:rsidR="00471E50">
        <w:rPr>
          <w:rFonts w:asciiTheme="minorHAnsi" w:hAnsiTheme="minorHAnsi" w:cstheme="minorHAnsi"/>
          <w:color w:val="242424"/>
        </w:rPr>
        <w:t>Ultimately, t</w:t>
      </w:r>
      <w:r w:rsidR="00471E50" w:rsidRPr="00D03A6A">
        <w:rPr>
          <w:rFonts w:asciiTheme="minorHAnsi" w:hAnsiTheme="minorHAnsi" w:cstheme="minorHAnsi"/>
          <w:color w:val="242424"/>
        </w:rPr>
        <w:t xml:space="preserve">he only real </w:t>
      </w:r>
      <w:r w:rsidR="00471E50" w:rsidRPr="00D03A6A">
        <w:rPr>
          <w:rFonts w:asciiTheme="minorHAnsi" w:hAnsiTheme="minorHAnsi" w:cstheme="minorHAnsi"/>
          <w:color w:val="242424"/>
        </w:rPr>
        <w:lastRenderedPageBreak/>
        <w:t xml:space="preserve">source of reversible error </w:t>
      </w:r>
      <w:r w:rsidR="00471E50">
        <w:rPr>
          <w:rFonts w:asciiTheme="minorHAnsi" w:hAnsiTheme="minorHAnsi" w:cstheme="minorHAnsi"/>
          <w:color w:val="242424"/>
        </w:rPr>
        <w:t>occurs when</w:t>
      </w:r>
      <w:r w:rsidR="00471E50" w:rsidRPr="00D03A6A">
        <w:rPr>
          <w:rFonts w:asciiTheme="minorHAnsi" w:hAnsiTheme="minorHAnsi" w:cstheme="minorHAnsi"/>
          <w:color w:val="242424"/>
        </w:rPr>
        <w:t xml:space="preserve"> a trial court believed that it had no discretion whatsoever to conduct an </w:t>
      </w:r>
      <w:r w:rsidR="00471E50" w:rsidRPr="00D03A6A">
        <w:rPr>
          <w:rFonts w:asciiTheme="minorHAnsi" w:hAnsiTheme="minorHAnsi" w:cstheme="minorHAnsi"/>
          <w:i/>
          <w:iCs/>
          <w:color w:val="242424"/>
        </w:rPr>
        <w:t>Archibald</w:t>
      </w:r>
      <w:r w:rsidR="00471E50" w:rsidRPr="00D03A6A">
        <w:rPr>
          <w:rFonts w:asciiTheme="minorHAnsi" w:hAnsiTheme="minorHAnsi" w:cstheme="minorHAnsi"/>
          <w:color w:val="242424"/>
        </w:rPr>
        <w:t>-like procedure (</w:t>
      </w:r>
      <w:r w:rsidR="00471E50" w:rsidRPr="00D03A6A">
        <w:rPr>
          <w:rFonts w:asciiTheme="minorHAnsi" w:hAnsiTheme="minorHAnsi" w:cstheme="minorHAnsi"/>
          <w:i/>
          <w:iCs/>
          <w:color w:val="242424"/>
        </w:rPr>
        <w:t>Louime</w:t>
      </w:r>
      <w:r w:rsidR="00471E50" w:rsidRPr="00D03A6A">
        <w:rPr>
          <w:rFonts w:asciiTheme="minorHAnsi" w:hAnsiTheme="minorHAnsi" w:cstheme="minorHAnsi"/>
          <w:color w:val="242424"/>
        </w:rPr>
        <w:t xml:space="preserve">, at 1039, citing </w:t>
      </w:r>
      <w:r w:rsidR="00471E50" w:rsidRPr="00D03A6A">
        <w:rPr>
          <w:rFonts w:asciiTheme="minorHAnsi" w:hAnsiTheme="minorHAnsi" w:cstheme="minorHAnsi"/>
          <w:i/>
          <w:iCs/>
          <w:color w:val="242424"/>
        </w:rPr>
        <w:t>People v Cronin</w:t>
      </w:r>
      <w:r w:rsidR="00471E50" w:rsidRPr="00D03A6A">
        <w:rPr>
          <w:rFonts w:asciiTheme="minorHAnsi" w:hAnsiTheme="minorHAnsi" w:cstheme="minorHAnsi"/>
          <w:color w:val="242424"/>
        </w:rPr>
        <w:t>, 60 NY2d 430 [1983]).</w:t>
      </w:r>
    </w:p>
    <w:p w14:paraId="095B8D2F" w14:textId="4766937B" w:rsidR="00DF4C58" w:rsidRPr="00D03A6A" w:rsidRDefault="006F4609" w:rsidP="00110EFB">
      <w:pPr>
        <w:pStyle w:val="NormalWeb"/>
        <w:shd w:val="clear" w:color="auto" w:fill="FFFFFF"/>
        <w:spacing w:before="0" w:after="0"/>
        <w:textAlignment w:val="baseline"/>
        <w:rPr>
          <w:rFonts w:asciiTheme="minorHAnsi" w:hAnsiTheme="minorHAnsi" w:cstheme="minorHAnsi"/>
          <w:color w:val="242424"/>
        </w:rPr>
      </w:pPr>
      <w:r w:rsidRPr="00D03A6A">
        <w:rPr>
          <w:rFonts w:asciiTheme="minorHAnsi" w:hAnsiTheme="minorHAnsi" w:cstheme="minorHAnsi"/>
          <w:color w:val="242424"/>
        </w:rPr>
        <w:t>P</w:t>
      </w:r>
      <w:r w:rsidR="00A51F19" w:rsidRPr="00D03A6A">
        <w:rPr>
          <w:rFonts w:asciiTheme="minorHAnsi" w:hAnsiTheme="minorHAnsi" w:cstheme="minorHAnsi"/>
          <w:color w:val="242424"/>
        </w:rPr>
        <w:t xml:space="preserve">erhaps most troublingly, Courts have said that </w:t>
      </w:r>
      <w:r w:rsidR="008A6CF2" w:rsidRPr="00D03A6A">
        <w:rPr>
          <w:rFonts w:asciiTheme="minorHAnsi" w:hAnsiTheme="minorHAnsi" w:cstheme="minorHAnsi"/>
          <w:color w:val="242424"/>
        </w:rPr>
        <w:t xml:space="preserve">to </w:t>
      </w:r>
      <w:r w:rsidR="00A51F19" w:rsidRPr="00D03A6A">
        <w:rPr>
          <w:rFonts w:asciiTheme="minorHAnsi" w:hAnsiTheme="minorHAnsi" w:cstheme="minorHAnsi"/>
          <w:color w:val="242424"/>
        </w:rPr>
        <w:t>obtain a special</w:t>
      </w:r>
      <w:r w:rsidR="00471E50">
        <w:rPr>
          <w:rFonts w:asciiTheme="minorHAnsi" w:hAnsiTheme="minorHAnsi" w:cstheme="minorHAnsi"/>
          <w:color w:val="242424"/>
        </w:rPr>
        <w:t xml:space="preserve"> identification</w:t>
      </w:r>
      <w:r w:rsidR="00A51F19" w:rsidRPr="00D03A6A">
        <w:rPr>
          <w:rFonts w:asciiTheme="minorHAnsi" w:hAnsiTheme="minorHAnsi" w:cstheme="minorHAnsi"/>
          <w:color w:val="242424"/>
        </w:rPr>
        <w:t xml:space="preserve"> procedure, counsel must first</w:t>
      </w:r>
      <w:r w:rsidR="008A6CF2" w:rsidRPr="00D03A6A">
        <w:rPr>
          <w:rFonts w:asciiTheme="minorHAnsi" w:hAnsiTheme="minorHAnsi" w:cstheme="minorHAnsi"/>
          <w:color w:val="242424"/>
        </w:rPr>
        <w:t>,</w:t>
      </w:r>
      <w:r w:rsidR="00A51F19" w:rsidRPr="00D03A6A">
        <w:rPr>
          <w:rFonts w:asciiTheme="minorHAnsi" w:hAnsiTheme="minorHAnsi" w:cstheme="minorHAnsi"/>
          <w:color w:val="242424"/>
        </w:rPr>
        <w:t xml:space="preserve"> </w:t>
      </w:r>
      <w:r w:rsidR="008A6CF2" w:rsidRPr="00D03A6A">
        <w:rPr>
          <w:rFonts w:asciiTheme="minorHAnsi" w:hAnsiTheme="minorHAnsi" w:cstheme="minorHAnsi"/>
          <w:color w:val="242424"/>
        </w:rPr>
        <w:t>“</w:t>
      </w:r>
      <w:r w:rsidR="00A51F19" w:rsidRPr="00D03A6A">
        <w:rPr>
          <w:rFonts w:asciiTheme="minorHAnsi" w:hAnsiTheme="minorHAnsi" w:cstheme="minorHAnsi"/>
          <w:color w:val="242424"/>
        </w:rPr>
        <w:t>sufficiently cast doubt on the witnesses’ identification</w:t>
      </w:r>
      <w:r w:rsidR="008A6CF2" w:rsidRPr="00D03A6A">
        <w:rPr>
          <w:rFonts w:asciiTheme="minorHAnsi" w:hAnsiTheme="minorHAnsi" w:cstheme="minorHAnsi"/>
          <w:color w:val="242424"/>
        </w:rPr>
        <w:t>”</w:t>
      </w:r>
      <w:r w:rsidR="00A51F19" w:rsidRPr="00D03A6A">
        <w:rPr>
          <w:rFonts w:asciiTheme="minorHAnsi" w:hAnsiTheme="minorHAnsi" w:cstheme="minorHAnsi"/>
          <w:color w:val="242424"/>
        </w:rPr>
        <w:t xml:space="preserve"> (</w:t>
      </w:r>
      <w:r w:rsidR="00A51F19" w:rsidRPr="00D03A6A">
        <w:rPr>
          <w:rFonts w:asciiTheme="minorHAnsi" w:hAnsiTheme="minorHAnsi" w:cstheme="minorHAnsi"/>
          <w:i/>
          <w:iCs/>
          <w:color w:val="242424"/>
        </w:rPr>
        <w:t>People v Brown</w:t>
      </w:r>
      <w:r w:rsidR="00A51F19" w:rsidRPr="00D03A6A">
        <w:rPr>
          <w:rFonts w:asciiTheme="minorHAnsi" w:hAnsiTheme="minorHAnsi" w:cstheme="minorHAnsi"/>
          <w:color w:val="242424"/>
        </w:rPr>
        <w:t xml:space="preserve">, 28 NY3d 392 [2016], </w:t>
      </w:r>
      <w:r w:rsidR="00A51F19" w:rsidRPr="00D03A6A">
        <w:rPr>
          <w:rFonts w:asciiTheme="minorHAnsi" w:hAnsiTheme="minorHAnsi" w:cstheme="minorHAnsi"/>
          <w:i/>
          <w:iCs/>
          <w:color w:val="242424"/>
        </w:rPr>
        <w:t>People v Louime</w:t>
      </w:r>
      <w:r w:rsidR="00A51F19" w:rsidRPr="00D03A6A">
        <w:rPr>
          <w:rFonts w:asciiTheme="minorHAnsi" w:hAnsiTheme="minorHAnsi" w:cstheme="minorHAnsi"/>
          <w:color w:val="242424"/>
        </w:rPr>
        <w:t>, 209 AD3d 1038, 1039 [2</w:t>
      </w:r>
      <w:r w:rsidR="00A51F19" w:rsidRPr="00D03A6A">
        <w:rPr>
          <w:rFonts w:asciiTheme="minorHAnsi" w:hAnsiTheme="minorHAnsi" w:cstheme="minorHAnsi"/>
          <w:color w:val="242424"/>
          <w:vertAlign w:val="superscript"/>
        </w:rPr>
        <w:t>nd</w:t>
      </w:r>
      <w:r w:rsidR="00A51F19" w:rsidRPr="00D03A6A">
        <w:rPr>
          <w:rFonts w:asciiTheme="minorHAnsi" w:hAnsiTheme="minorHAnsi" w:cstheme="minorHAnsi"/>
          <w:color w:val="242424"/>
        </w:rPr>
        <w:t xml:space="preserve"> Dept 2022]).</w:t>
      </w:r>
      <w:r w:rsidRPr="00D03A6A">
        <w:rPr>
          <w:rFonts w:asciiTheme="minorHAnsi" w:hAnsiTheme="minorHAnsi" w:cstheme="minorHAnsi"/>
          <w:color w:val="242424"/>
        </w:rPr>
        <w:t xml:space="preserve"> Ident</w:t>
      </w:r>
      <w:r w:rsidR="00DF4C58" w:rsidRPr="00D03A6A">
        <w:rPr>
          <w:rFonts w:asciiTheme="minorHAnsi" w:hAnsiTheme="minorHAnsi" w:cstheme="minorHAnsi"/>
          <w:color w:val="242424"/>
        </w:rPr>
        <w:t>ity</w:t>
      </w:r>
      <w:r w:rsidRPr="00D03A6A">
        <w:rPr>
          <w:rFonts w:asciiTheme="minorHAnsi" w:hAnsiTheme="minorHAnsi" w:cstheme="minorHAnsi"/>
          <w:color w:val="242424"/>
        </w:rPr>
        <w:t xml:space="preserve"> is an element which the People bear the burden of proving beyond a reasonable doubt. Reliability is at the heart of satisfying that burden. It seem</w:t>
      </w:r>
      <w:r w:rsidR="00FD5F0E">
        <w:rPr>
          <w:rFonts w:asciiTheme="minorHAnsi" w:hAnsiTheme="minorHAnsi" w:cstheme="minorHAnsi"/>
          <w:color w:val="242424"/>
        </w:rPr>
        <w:t>s</w:t>
      </w:r>
      <w:r w:rsidRPr="00D03A6A">
        <w:rPr>
          <w:rFonts w:asciiTheme="minorHAnsi" w:hAnsiTheme="minorHAnsi" w:cstheme="minorHAnsi"/>
          <w:color w:val="242424"/>
        </w:rPr>
        <w:t xml:space="preserve"> rather counterintuitive to suggest that the defense has an affirmative obligation to place reliability in question.</w:t>
      </w:r>
      <w:r w:rsidR="00A51F19" w:rsidRPr="00D03A6A">
        <w:rPr>
          <w:rFonts w:asciiTheme="minorHAnsi" w:hAnsiTheme="minorHAnsi" w:cstheme="minorHAnsi"/>
          <w:color w:val="242424"/>
        </w:rPr>
        <w:t xml:space="preserve"> </w:t>
      </w:r>
      <w:r w:rsidRPr="00D03A6A">
        <w:rPr>
          <w:rFonts w:asciiTheme="minorHAnsi" w:hAnsiTheme="minorHAnsi" w:cstheme="minorHAnsi"/>
          <w:color w:val="242424"/>
        </w:rPr>
        <w:t>Moreover, i</w:t>
      </w:r>
      <w:r w:rsidR="008A6CF2" w:rsidRPr="00D03A6A">
        <w:rPr>
          <w:rFonts w:asciiTheme="minorHAnsi" w:hAnsiTheme="minorHAnsi" w:cstheme="minorHAnsi"/>
          <w:color w:val="242424"/>
        </w:rPr>
        <w:t>t</w:t>
      </w:r>
      <w:r w:rsidRPr="00D03A6A">
        <w:rPr>
          <w:rFonts w:asciiTheme="minorHAnsi" w:hAnsiTheme="minorHAnsi" w:cstheme="minorHAnsi"/>
          <w:color w:val="242424"/>
        </w:rPr>
        <w:t xml:space="preserve"> is</w:t>
      </w:r>
      <w:r w:rsidR="008A6CF2" w:rsidRPr="00D03A6A">
        <w:rPr>
          <w:rFonts w:asciiTheme="minorHAnsi" w:hAnsiTheme="minorHAnsi" w:cstheme="minorHAnsi"/>
          <w:color w:val="242424"/>
        </w:rPr>
        <w:t xml:space="preserve"> unclear how counsel would accomplish this since her first opportunity to do so would, presumably, be on cross-examination</w:t>
      </w:r>
      <w:r w:rsidRPr="00D03A6A">
        <w:rPr>
          <w:rFonts w:asciiTheme="minorHAnsi" w:hAnsiTheme="minorHAnsi" w:cstheme="minorHAnsi"/>
          <w:color w:val="242424"/>
        </w:rPr>
        <w:t xml:space="preserve"> -- after the in-court identification has been made. </w:t>
      </w:r>
    </w:p>
    <w:p w14:paraId="05510D9B" w14:textId="2616C27B" w:rsidR="008A6CF2" w:rsidRPr="00D03A6A" w:rsidRDefault="008A6CF2" w:rsidP="00110EFB">
      <w:pPr>
        <w:pStyle w:val="NormalWeb"/>
        <w:shd w:val="clear" w:color="auto" w:fill="FFFFFF"/>
        <w:spacing w:before="0" w:after="0"/>
        <w:textAlignment w:val="baseline"/>
        <w:rPr>
          <w:rFonts w:asciiTheme="minorHAnsi" w:hAnsiTheme="minorHAnsi" w:cstheme="minorHAnsi"/>
          <w:b/>
          <w:bCs/>
          <w:color w:val="000000"/>
          <w:bdr w:val="none" w:sz="0" w:space="0" w:color="auto" w:frame="1"/>
        </w:rPr>
      </w:pPr>
      <w:r w:rsidRPr="00D03A6A">
        <w:rPr>
          <w:rFonts w:asciiTheme="minorHAnsi" w:hAnsiTheme="minorHAnsi" w:cstheme="minorHAnsi"/>
          <w:b/>
          <w:bCs/>
          <w:color w:val="242424"/>
        </w:rPr>
        <w:t xml:space="preserve">Enter </w:t>
      </w:r>
      <w:r w:rsidRPr="00D03A6A">
        <w:rPr>
          <w:rFonts w:asciiTheme="minorHAnsi" w:hAnsiTheme="minorHAnsi" w:cstheme="minorHAnsi"/>
          <w:b/>
          <w:bCs/>
          <w:i/>
          <w:iCs/>
          <w:color w:val="242424"/>
        </w:rPr>
        <w:t>Perdue</w:t>
      </w:r>
      <w:r w:rsidRPr="00D03A6A">
        <w:rPr>
          <w:rFonts w:asciiTheme="minorHAnsi" w:hAnsiTheme="minorHAnsi" w:cstheme="minorHAnsi"/>
          <w:b/>
          <w:bCs/>
          <w:color w:val="242424"/>
        </w:rPr>
        <w:t xml:space="preserve">. </w:t>
      </w:r>
    </w:p>
    <w:p w14:paraId="4EF7D434" w14:textId="5124A11E" w:rsidR="008A6CF2" w:rsidRPr="00D03A6A" w:rsidRDefault="00110EFB" w:rsidP="00110EFB">
      <w:pPr>
        <w:pStyle w:val="NormalWeb"/>
        <w:shd w:val="clear" w:color="auto" w:fill="FFFFFF"/>
        <w:spacing w:before="0" w:beforeAutospacing="0" w:after="0" w:afterAutospacing="0"/>
        <w:textAlignment w:val="baseline"/>
        <w:rPr>
          <w:rFonts w:asciiTheme="minorHAnsi" w:hAnsiTheme="minorHAnsi" w:cstheme="minorHAnsi"/>
          <w:color w:val="000000"/>
          <w:bdr w:val="none" w:sz="0" w:space="0" w:color="auto" w:frame="1"/>
        </w:rPr>
      </w:pPr>
      <w:r w:rsidRPr="00D03A6A">
        <w:rPr>
          <w:rFonts w:asciiTheme="minorHAnsi" w:hAnsiTheme="minorHAnsi" w:cstheme="minorHAnsi"/>
          <w:color w:val="000000"/>
          <w:bdr w:val="none" w:sz="0" w:space="0" w:color="auto" w:frame="1"/>
        </w:rPr>
        <w:t xml:space="preserve">Following a jury trial, the defendant was convicted of assault in the second degree and two counts of criminal possession of a weapon in the second degree in connection with a one-on-one shooting that occurred at a house party. The People's identification evidence consisted of the victim </w:t>
      </w:r>
      <w:r w:rsidR="008A6CF2" w:rsidRPr="00D03A6A">
        <w:rPr>
          <w:rFonts w:asciiTheme="minorHAnsi" w:hAnsiTheme="minorHAnsi" w:cstheme="minorHAnsi"/>
          <w:color w:val="000000"/>
          <w:bdr w:val="none" w:sz="0" w:space="0" w:color="auto" w:frame="1"/>
        </w:rPr>
        <w:t xml:space="preserve">-- </w:t>
      </w:r>
      <w:r w:rsidRPr="00D03A6A">
        <w:rPr>
          <w:rFonts w:asciiTheme="minorHAnsi" w:hAnsiTheme="minorHAnsi" w:cstheme="minorHAnsi"/>
          <w:color w:val="000000"/>
          <w:bdr w:val="none" w:sz="0" w:space="0" w:color="auto" w:frame="1"/>
        </w:rPr>
        <w:t>who subsequently participated in a police-arranged identification procedure</w:t>
      </w:r>
      <w:r w:rsidR="008A6CF2" w:rsidRPr="00D03A6A">
        <w:rPr>
          <w:rFonts w:asciiTheme="minorHAnsi" w:hAnsiTheme="minorHAnsi" w:cstheme="minorHAnsi"/>
          <w:color w:val="000000"/>
          <w:bdr w:val="none" w:sz="0" w:space="0" w:color="auto" w:frame="1"/>
        </w:rPr>
        <w:t xml:space="preserve"> --</w:t>
      </w:r>
      <w:r w:rsidRPr="00D03A6A">
        <w:rPr>
          <w:rFonts w:asciiTheme="minorHAnsi" w:hAnsiTheme="minorHAnsi" w:cstheme="minorHAnsi"/>
          <w:color w:val="000000"/>
          <w:bdr w:val="none" w:sz="0" w:space="0" w:color="auto" w:frame="1"/>
        </w:rPr>
        <w:t xml:space="preserve"> and the 911 caller </w:t>
      </w:r>
      <w:r w:rsidR="008A6CF2" w:rsidRPr="00D03A6A">
        <w:rPr>
          <w:rFonts w:asciiTheme="minorHAnsi" w:hAnsiTheme="minorHAnsi" w:cstheme="minorHAnsi"/>
          <w:color w:val="000000"/>
          <w:bdr w:val="none" w:sz="0" w:space="0" w:color="auto" w:frame="1"/>
        </w:rPr>
        <w:t xml:space="preserve">-- </w:t>
      </w:r>
      <w:r w:rsidRPr="00D03A6A">
        <w:rPr>
          <w:rFonts w:asciiTheme="minorHAnsi" w:hAnsiTheme="minorHAnsi" w:cstheme="minorHAnsi"/>
          <w:color w:val="000000"/>
          <w:bdr w:val="none" w:sz="0" w:space="0" w:color="auto" w:frame="1"/>
        </w:rPr>
        <w:t xml:space="preserve">who did not. </w:t>
      </w:r>
    </w:p>
    <w:p w14:paraId="244B146E" w14:textId="77777777" w:rsidR="008A6CF2" w:rsidRPr="00D03A6A" w:rsidRDefault="008A6CF2" w:rsidP="00110EFB">
      <w:pPr>
        <w:pStyle w:val="NormalWeb"/>
        <w:shd w:val="clear" w:color="auto" w:fill="FFFFFF"/>
        <w:spacing w:before="0" w:beforeAutospacing="0" w:after="0" w:afterAutospacing="0"/>
        <w:textAlignment w:val="baseline"/>
        <w:rPr>
          <w:rFonts w:asciiTheme="minorHAnsi" w:hAnsiTheme="minorHAnsi" w:cstheme="minorHAnsi"/>
          <w:color w:val="000000"/>
          <w:bdr w:val="none" w:sz="0" w:space="0" w:color="auto" w:frame="1"/>
        </w:rPr>
      </w:pPr>
    </w:p>
    <w:p w14:paraId="0DFAF58C" w14:textId="72BF17F5" w:rsidR="00110EFB" w:rsidRPr="00D03A6A" w:rsidRDefault="00110EFB" w:rsidP="00110EFB">
      <w:pPr>
        <w:pStyle w:val="NormalWeb"/>
        <w:shd w:val="clear" w:color="auto" w:fill="FFFFFF"/>
        <w:spacing w:before="0" w:beforeAutospacing="0" w:after="0" w:afterAutospacing="0"/>
        <w:textAlignment w:val="baseline"/>
        <w:rPr>
          <w:rFonts w:asciiTheme="minorHAnsi" w:hAnsiTheme="minorHAnsi" w:cstheme="minorHAnsi"/>
          <w:color w:val="242424"/>
        </w:rPr>
      </w:pPr>
      <w:r w:rsidRPr="00D03A6A">
        <w:rPr>
          <w:rFonts w:asciiTheme="minorHAnsi" w:hAnsiTheme="minorHAnsi" w:cstheme="minorHAnsi"/>
          <w:color w:val="000000"/>
          <w:bdr w:val="none" w:sz="0" w:space="0" w:color="auto" w:frame="1"/>
        </w:rPr>
        <w:t>At trial, the 911 caller was asked if she could identify the defendant, she answered, "of course," and proceeded to do so. Noting that the witness had not previously identified his client, counsel objected and sought preclusion of the in-court identification. The trial court overruled the objection and insisted that the defendant's remedy was to cross-examine the witness concerning the reliability of her identification.  The Appellate Division affirmed (</w:t>
      </w:r>
      <w:r w:rsidRPr="00D03A6A">
        <w:rPr>
          <w:rFonts w:asciiTheme="minorHAnsi" w:hAnsiTheme="minorHAnsi" w:cstheme="minorHAnsi"/>
          <w:i/>
          <w:iCs/>
          <w:color w:val="000000"/>
          <w:bdr w:val="none" w:sz="0" w:space="0" w:color="auto" w:frame="1"/>
        </w:rPr>
        <w:t>People v </w:t>
      </w:r>
      <w:r w:rsidRPr="00D03A6A">
        <w:rPr>
          <w:rStyle w:val="markx5nt7gg0u"/>
          <w:rFonts w:asciiTheme="minorHAnsi" w:hAnsiTheme="minorHAnsi" w:cstheme="minorHAnsi"/>
          <w:i/>
          <w:iCs/>
          <w:color w:val="000000"/>
          <w:bdr w:val="none" w:sz="0" w:space="0" w:color="auto" w:frame="1"/>
        </w:rPr>
        <w:t>Perdue</w:t>
      </w:r>
      <w:r w:rsidRPr="00D03A6A">
        <w:rPr>
          <w:rFonts w:asciiTheme="minorHAnsi" w:hAnsiTheme="minorHAnsi" w:cstheme="minorHAnsi"/>
          <w:color w:val="000000"/>
          <w:bdr w:val="none" w:sz="0" w:space="0" w:color="auto" w:frame="1"/>
        </w:rPr>
        <w:t>, 203 AD3d 1638 [4</w:t>
      </w:r>
      <w:r w:rsidRPr="00D03A6A">
        <w:rPr>
          <w:rFonts w:asciiTheme="minorHAnsi" w:hAnsiTheme="minorHAnsi" w:cstheme="minorHAnsi"/>
          <w:color w:val="000000"/>
          <w:bdr w:val="none" w:sz="0" w:space="0" w:color="auto" w:frame="1"/>
          <w:vertAlign w:val="superscript"/>
        </w:rPr>
        <w:t>th</w:t>
      </w:r>
      <w:r w:rsidRPr="00D03A6A">
        <w:rPr>
          <w:rFonts w:asciiTheme="minorHAnsi" w:hAnsiTheme="minorHAnsi" w:cstheme="minorHAnsi"/>
          <w:color w:val="000000"/>
          <w:bdr w:val="none" w:sz="0" w:space="0" w:color="auto" w:frame="1"/>
        </w:rPr>
        <w:t> Dept</w:t>
      </w:r>
      <w:r w:rsidR="00471E50">
        <w:rPr>
          <w:rFonts w:asciiTheme="minorHAnsi" w:hAnsiTheme="minorHAnsi" w:cstheme="minorHAnsi"/>
          <w:color w:val="000000"/>
          <w:bdr w:val="none" w:sz="0" w:space="0" w:color="auto" w:frame="1"/>
        </w:rPr>
        <w:t xml:space="preserve"> 2022</w:t>
      </w:r>
      <w:r w:rsidRPr="00D03A6A">
        <w:rPr>
          <w:rFonts w:asciiTheme="minorHAnsi" w:hAnsiTheme="minorHAnsi" w:cstheme="minorHAnsi"/>
          <w:color w:val="000000"/>
          <w:bdr w:val="none" w:sz="0" w:space="0" w:color="auto" w:frame="1"/>
        </w:rPr>
        <w:t>]).   </w:t>
      </w:r>
    </w:p>
    <w:p w14:paraId="02B080EF" w14:textId="4534B0A6" w:rsidR="00110EFB" w:rsidRPr="00D03A6A" w:rsidRDefault="00110EFB" w:rsidP="00110EFB">
      <w:pPr>
        <w:pStyle w:val="NormalWeb"/>
        <w:shd w:val="clear" w:color="auto" w:fill="FFFFFF"/>
        <w:spacing w:before="0" w:after="0"/>
        <w:textAlignment w:val="baseline"/>
        <w:rPr>
          <w:rFonts w:asciiTheme="minorHAnsi" w:hAnsiTheme="minorHAnsi" w:cstheme="minorHAnsi"/>
          <w:color w:val="242424"/>
        </w:rPr>
      </w:pPr>
      <w:r w:rsidRPr="00D03A6A">
        <w:rPr>
          <w:rFonts w:asciiTheme="minorHAnsi" w:hAnsiTheme="minorHAnsi" w:cstheme="minorHAnsi"/>
          <w:color w:val="000000"/>
          <w:bdr w:val="none" w:sz="0" w:space="0" w:color="auto" w:frame="1"/>
        </w:rPr>
        <w:t>The Court of Appeals also affirmed. But, in so doing, it significantly altered the landscape of identification evidence</w:t>
      </w:r>
      <w:r w:rsidR="00471E50">
        <w:rPr>
          <w:rFonts w:asciiTheme="minorHAnsi" w:hAnsiTheme="minorHAnsi" w:cstheme="minorHAnsi"/>
          <w:color w:val="000000"/>
          <w:bdr w:val="none" w:sz="0" w:space="0" w:color="auto" w:frame="1"/>
        </w:rPr>
        <w:t xml:space="preserve"> and the notice that must accompany it</w:t>
      </w:r>
      <w:r w:rsidRPr="00D03A6A">
        <w:rPr>
          <w:rFonts w:asciiTheme="minorHAnsi" w:hAnsiTheme="minorHAnsi" w:cstheme="minorHAnsi"/>
          <w:color w:val="000000"/>
          <w:bdr w:val="none" w:sz="0" w:space="0" w:color="auto" w:frame="1"/>
        </w:rPr>
        <w:t>.</w:t>
      </w:r>
    </w:p>
    <w:p w14:paraId="1B78C33C" w14:textId="334369B1" w:rsidR="00110EFB" w:rsidRPr="00D03A6A" w:rsidRDefault="00110EFB" w:rsidP="00110EFB">
      <w:pPr>
        <w:pStyle w:val="NormalWeb"/>
        <w:shd w:val="clear" w:color="auto" w:fill="FFFFFF"/>
        <w:spacing w:before="0" w:after="0"/>
        <w:textAlignment w:val="baseline"/>
        <w:rPr>
          <w:rFonts w:asciiTheme="minorHAnsi" w:hAnsiTheme="minorHAnsi" w:cstheme="minorHAnsi"/>
          <w:color w:val="000000"/>
          <w:bdr w:val="none" w:sz="0" w:space="0" w:color="auto" w:frame="1"/>
        </w:rPr>
      </w:pPr>
      <w:r w:rsidRPr="00D03A6A">
        <w:rPr>
          <w:rFonts w:asciiTheme="minorHAnsi" w:hAnsiTheme="minorHAnsi" w:cstheme="minorHAnsi"/>
          <w:color w:val="000000"/>
          <w:bdr w:val="none" w:sz="0" w:space="0" w:color="auto" w:frame="1"/>
        </w:rPr>
        <w:t>First, the Court held that whenever a witness </w:t>
      </w:r>
      <w:r w:rsidRPr="00D03A6A">
        <w:rPr>
          <w:rFonts w:asciiTheme="minorHAnsi" w:hAnsiTheme="minorHAnsi" w:cstheme="minorHAnsi"/>
          <w:i/>
          <w:iCs/>
          <w:color w:val="000000"/>
          <w:bdr w:val="none" w:sz="0" w:space="0" w:color="auto" w:frame="1"/>
        </w:rPr>
        <w:t>may</w:t>
      </w:r>
      <w:r w:rsidRPr="00D03A6A">
        <w:rPr>
          <w:rFonts w:asciiTheme="minorHAnsi" w:hAnsiTheme="minorHAnsi" w:cstheme="minorHAnsi"/>
          <w:color w:val="000000"/>
          <w:bdr w:val="none" w:sz="0" w:space="0" w:color="auto" w:frame="1"/>
        </w:rPr>
        <w:t> make a first-time, in-court identification the People must make the defense aware </w:t>
      </w:r>
      <w:r w:rsidRPr="00D03A6A">
        <w:rPr>
          <w:rFonts w:asciiTheme="minorHAnsi" w:hAnsiTheme="minorHAnsi" w:cstheme="minorHAnsi"/>
          <w:i/>
          <w:iCs/>
          <w:color w:val="000000"/>
          <w:bdr w:val="none" w:sz="0" w:space="0" w:color="auto" w:frame="1"/>
        </w:rPr>
        <w:t>as soon as practicable</w:t>
      </w:r>
      <w:r w:rsidRPr="00D03A6A">
        <w:rPr>
          <w:rFonts w:asciiTheme="minorHAnsi" w:hAnsiTheme="minorHAnsi" w:cstheme="minorHAnsi"/>
          <w:color w:val="000000"/>
          <w:bdr w:val="none" w:sz="0" w:space="0" w:color="auto" w:frame="1"/>
        </w:rPr>
        <w:t xml:space="preserve"> so that the defense can request an alternative identification procedure. </w:t>
      </w:r>
      <w:r w:rsidR="00DF4C58" w:rsidRPr="00D03A6A">
        <w:rPr>
          <w:rFonts w:asciiTheme="minorHAnsi" w:hAnsiTheme="minorHAnsi" w:cstheme="minorHAnsi"/>
          <w:color w:val="000000"/>
          <w:bdr w:val="none" w:sz="0" w:space="0" w:color="auto" w:frame="1"/>
        </w:rPr>
        <w:t>In so doing, the Court created a</w:t>
      </w:r>
      <w:r w:rsidRPr="00D03A6A">
        <w:rPr>
          <w:rFonts w:asciiTheme="minorHAnsi" w:hAnsiTheme="minorHAnsi" w:cstheme="minorHAnsi"/>
          <w:color w:val="000000"/>
          <w:bdr w:val="none" w:sz="0" w:space="0" w:color="auto" w:frame="1"/>
        </w:rPr>
        <w:t xml:space="preserve"> broad</w:t>
      </w:r>
      <w:r w:rsidR="00DF4C58" w:rsidRPr="00D03A6A">
        <w:rPr>
          <w:rFonts w:asciiTheme="minorHAnsi" w:hAnsiTheme="minorHAnsi" w:cstheme="minorHAnsi"/>
          <w:color w:val="000000"/>
          <w:bdr w:val="none" w:sz="0" w:space="0" w:color="auto" w:frame="1"/>
        </w:rPr>
        <w:t>, common-law rule of notice/discovery</w:t>
      </w:r>
      <w:r w:rsidRPr="00D03A6A">
        <w:rPr>
          <w:rFonts w:asciiTheme="minorHAnsi" w:hAnsiTheme="minorHAnsi" w:cstheme="minorHAnsi"/>
          <w:color w:val="000000"/>
          <w:bdr w:val="none" w:sz="0" w:space="0" w:color="auto" w:frame="1"/>
        </w:rPr>
        <w:t xml:space="preserve">. It appears to apply to every eyewitness who has even the potential of providing identification evidence and has not already participated in a pre-trial identification procedure (which would be covered by more traditional mechanisms [CPL 710.30, 245.20(1)(c), (k), (v), and (vi)]). This rule, though not a codified component of CPL 245, appears to demand a similarly diligent effort by the People to provide notice. And, though the Court notes that cross-examination may </w:t>
      </w:r>
      <w:r w:rsidR="0012475A" w:rsidRPr="00D03A6A">
        <w:rPr>
          <w:rFonts w:asciiTheme="minorHAnsi" w:hAnsiTheme="minorHAnsi" w:cstheme="minorHAnsi"/>
          <w:color w:val="000000"/>
          <w:bdr w:val="none" w:sz="0" w:space="0" w:color="auto" w:frame="1"/>
        </w:rPr>
        <w:t xml:space="preserve">still </w:t>
      </w:r>
      <w:r w:rsidRPr="00D03A6A">
        <w:rPr>
          <w:rFonts w:asciiTheme="minorHAnsi" w:hAnsiTheme="minorHAnsi" w:cstheme="minorHAnsi"/>
          <w:color w:val="000000"/>
          <w:bdr w:val="none" w:sz="0" w:space="0" w:color="auto" w:frame="1"/>
        </w:rPr>
        <w:t>be a valuable tactic, it has no tendency to make an in-court identification -- where the witness is being asked to point to the guy sitting next to the lawyer -- any less suggestive.  </w:t>
      </w:r>
    </w:p>
    <w:p w14:paraId="5D3ADB8A" w14:textId="6CB2B024" w:rsidR="00927FBF" w:rsidRPr="00D03A6A" w:rsidRDefault="0012475A" w:rsidP="00110EFB">
      <w:pPr>
        <w:pStyle w:val="NormalWeb"/>
        <w:shd w:val="clear" w:color="auto" w:fill="FFFFFF"/>
        <w:spacing w:before="0" w:after="0"/>
        <w:textAlignment w:val="baseline"/>
        <w:rPr>
          <w:rFonts w:asciiTheme="minorHAnsi" w:hAnsiTheme="minorHAnsi" w:cstheme="minorHAnsi"/>
          <w:color w:val="000000"/>
          <w:bdr w:val="none" w:sz="0" w:space="0" w:color="auto" w:frame="1"/>
        </w:rPr>
      </w:pPr>
      <w:r w:rsidRPr="00D03A6A">
        <w:rPr>
          <w:rFonts w:asciiTheme="minorHAnsi" w:hAnsiTheme="minorHAnsi" w:cstheme="minorHAnsi"/>
          <w:color w:val="000000"/>
          <w:bdr w:val="none" w:sz="0" w:space="0" w:color="auto" w:frame="1"/>
        </w:rPr>
        <w:lastRenderedPageBreak/>
        <w:t>It is important to note that though the People gave no such notice here -- as no rule yet existed requiring them to -- the Court affirmed because (1) counsel should have anticipated the possibility, as pre-trial discovery materials made it clear that the 911 caller would likely be able to identify the defendant (she told law enforcement that she could on body camera, and described him with exactitude in the 911 call), and (2) counsel did not seek a special, </w:t>
      </w:r>
      <w:r w:rsidRPr="00D03A6A">
        <w:rPr>
          <w:rFonts w:asciiTheme="minorHAnsi" w:hAnsiTheme="minorHAnsi" w:cstheme="minorHAnsi"/>
          <w:i/>
          <w:iCs/>
          <w:color w:val="000000"/>
          <w:bdr w:val="none" w:sz="0" w:space="0" w:color="auto" w:frame="1"/>
        </w:rPr>
        <w:t>Archibald</w:t>
      </w:r>
      <w:r w:rsidRPr="00D03A6A">
        <w:rPr>
          <w:rFonts w:asciiTheme="minorHAnsi" w:hAnsiTheme="minorHAnsi" w:cstheme="minorHAnsi"/>
          <w:color w:val="000000"/>
          <w:bdr w:val="none" w:sz="0" w:space="0" w:color="auto" w:frame="1"/>
        </w:rPr>
        <w:t>-type procedure -- he went straight for preclusion. </w:t>
      </w:r>
      <w:r w:rsidR="00471E50">
        <w:rPr>
          <w:rFonts w:asciiTheme="minorHAnsi" w:hAnsiTheme="minorHAnsi" w:cstheme="minorHAnsi"/>
          <w:color w:val="000000"/>
          <w:bdr w:val="none" w:sz="0" w:space="0" w:color="auto" w:frame="1"/>
        </w:rPr>
        <w:t>In the future, w</w:t>
      </w:r>
      <w:r w:rsidR="00927FBF" w:rsidRPr="00D03A6A">
        <w:rPr>
          <w:rFonts w:asciiTheme="minorHAnsi" w:hAnsiTheme="minorHAnsi" w:cstheme="minorHAnsi"/>
          <w:color w:val="000000"/>
          <w:bdr w:val="none" w:sz="0" w:space="0" w:color="auto" w:frame="1"/>
        </w:rPr>
        <w:t xml:space="preserve">here the People fail to provide notice, trial courts can look to (1) the reason for the failure, and (2) the extent of the resulting prejudice. </w:t>
      </w:r>
    </w:p>
    <w:p w14:paraId="629C04DD" w14:textId="6E405DD1" w:rsidR="00110EFB" w:rsidRPr="00D03A6A" w:rsidRDefault="00110EFB" w:rsidP="00110EFB">
      <w:pPr>
        <w:pStyle w:val="NormalWeb"/>
        <w:shd w:val="clear" w:color="auto" w:fill="FFFFFF"/>
        <w:spacing w:before="0" w:after="0"/>
        <w:textAlignment w:val="baseline"/>
        <w:rPr>
          <w:rFonts w:asciiTheme="minorHAnsi" w:hAnsiTheme="minorHAnsi" w:cstheme="minorHAnsi"/>
          <w:b/>
          <w:bCs/>
          <w:color w:val="242424"/>
        </w:rPr>
      </w:pPr>
      <w:r w:rsidRPr="00D03A6A">
        <w:rPr>
          <w:rFonts w:asciiTheme="minorHAnsi" w:hAnsiTheme="minorHAnsi" w:cstheme="minorHAnsi"/>
          <w:color w:val="000000"/>
          <w:bdr w:val="none" w:sz="0" w:space="0" w:color="auto" w:frame="1"/>
        </w:rPr>
        <w:t xml:space="preserve">Second, </w:t>
      </w:r>
      <w:r w:rsidR="006E4A71" w:rsidRPr="00D03A6A">
        <w:rPr>
          <w:rFonts w:asciiTheme="minorHAnsi" w:hAnsiTheme="minorHAnsi" w:cstheme="minorHAnsi"/>
          <w:i/>
          <w:iCs/>
          <w:color w:val="000000"/>
          <w:bdr w:val="none" w:sz="0" w:space="0" w:color="auto" w:frame="1"/>
        </w:rPr>
        <w:t>Perdue</w:t>
      </w:r>
      <w:r w:rsidR="006E4A71" w:rsidRPr="00D03A6A">
        <w:rPr>
          <w:rFonts w:asciiTheme="minorHAnsi" w:hAnsiTheme="minorHAnsi" w:cstheme="minorHAnsi"/>
          <w:color w:val="000000"/>
          <w:bdr w:val="none" w:sz="0" w:space="0" w:color="auto" w:frame="1"/>
        </w:rPr>
        <w:t xml:space="preserve"> </w:t>
      </w:r>
      <w:r w:rsidR="002C1B1A" w:rsidRPr="00D03A6A">
        <w:rPr>
          <w:rFonts w:asciiTheme="minorHAnsi" w:hAnsiTheme="minorHAnsi" w:cstheme="minorHAnsi"/>
          <w:color w:val="000000"/>
          <w:bdr w:val="none" w:sz="0" w:space="0" w:color="auto" w:frame="1"/>
        </w:rPr>
        <w:t>reaffirms, if not encourages,</w:t>
      </w:r>
      <w:r w:rsidRPr="00D03A6A">
        <w:rPr>
          <w:rFonts w:asciiTheme="minorHAnsi" w:hAnsiTheme="minorHAnsi" w:cstheme="minorHAnsi"/>
          <w:color w:val="000000"/>
          <w:bdr w:val="none" w:sz="0" w:space="0" w:color="auto" w:frame="1"/>
        </w:rPr>
        <w:t xml:space="preserve"> trial courts</w:t>
      </w:r>
      <w:r w:rsidR="002C1B1A" w:rsidRPr="00D03A6A">
        <w:rPr>
          <w:rFonts w:asciiTheme="minorHAnsi" w:hAnsiTheme="minorHAnsi" w:cstheme="minorHAnsi"/>
          <w:color w:val="000000"/>
          <w:bdr w:val="none" w:sz="0" w:space="0" w:color="auto" w:frame="1"/>
        </w:rPr>
        <w:t>’</w:t>
      </w:r>
      <w:r w:rsidRPr="00D03A6A">
        <w:rPr>
          <w:rFonts w:asciiTheme="minorHAnsi" w:hAnsiTheme="minorHAnsi" w:cstheme="minorHAnsi"/>
          <w:color w:val="000000"/>
          <w:bdr w:val="none" w:sz="0" w:space="0" w:color="auto" w:frame="1"/>
        </w:rPr>
        <w:t xml:space="preserve"> discretion to mitigate the suggestiveness of first-time, in-court identifications. </w:t>
      </w:r>
      <w:r w:rsidR="002C1B1A" w:rsidRPr="00D03A6A">
        <w:rPr>
          <w:rFonts w:asciiTheme="minorHAnsi" w:hAnsiTheme="minorHAnsi" w:cstheme="minorHAnsi"/>
          <w:color w:val="000000"/>
          <w:bdr w:val="none" w:sz="0" w:space="0" w:color="auto" w:frame="1"/>
        </w:rPr>
        <w:t xml:space="preserve">Specifically, the Court said that the defense, “should be afforded meaningful opportunity to request additional procedures.” </w:t>
      </w:r>
      <w:r w:rsidRPr="00D03A6A">
        <w:rPr>
          <w:rFonts w:asciiTheme="minorHAnsi" w:hAnsiTheme="minorHAnsi" w:cstheme="minorHAnsi"/>
          <w:color w:val="000000"/>
          <w:bdr w:val="none" w:sz="0" w:space="0" w:color="auto" w:frame="1"/>
        </w:rPr>
        <w:t xml:space="preserve">Such </w:t>
      </w:r>
      <w:r w:rsidR="002C1B1A" w:rsidRPr="00D03A6A">
        <w:rPr>
          <w:rFonts w:asciiTheme="minorHAnsi" w:hAnsiTheme="minorHAnsi" w:cstheme="minorHAnsi"/>
          <w:color w:val="000000"/>
          <w:bdr w:val="none" w:sz="0" w:space="0" w:color="auto" w:frame="1"/>
        </w:rPr>
        <w:t xml:space="preserve">mechanisms could come in the form of (1) an adjournment for a non-suggestive out-of-court procedure (see </w:t>
      </w:r>
      <w:r w:rsidR="002C1B1A" w:rsidRPr="00D03A6A">
        <w:rPr>
          <w:rFonts w:asciiTheme="minorHAnsi" w:hAnsiTheme="minorHAnsi" w:cstheme="minorHAnsi"/>
          <w:i/>
          <w:iCs/>
          <w:color w:val="000000"/>
          <w:bdr w:val="none" w:sz="0" w:space="0" w:color="auto" w:frame="1"/>
        </w:rPr>
        <w:t>United States v Brown</w:t>
      </w:r>
      <w:r w:rsidR="002C1B1A" w:rsidRPr="00D03A6A">
        <w:rPr>
          <w:rFonts w:asciiTheme="minorHAnsi" w:hAnsiTheme="minorHAnsi" w:cstheme="minorHAnsi"/>
          <w:color w:val="000000"/>
          <w:bdr w:val="none" w:sz="0" w:space="0" w:color="auto" w:frame="1"/>
        </w:rPr>
        <w:t>, 699 F.2d 585 [2</w:t>
      </w:r>
      <w:r w:rsidR="002C1B1A" w:rsidRPr="00D03A6A">
        <w:rPr>
          <w:rFonts w:asciiTheme="minorHAnsi" w:hAnsiTheme="minorHAnsi" w:cstheme="minorHAnsi"/>
          <w:color w:val="000000"/>
          <w:bdr w:val="none" w:sz="0" w:space="0" w:color="auto" w:frame="1"/>
          <w:vertAlign w:val="superscript"/>
        </w:rPr>
        <w:t>nd</w:t>
      </w:r>
      <w:r w:rsidR="002C1B1A" w:rsidRPr="00D03A6A">
        <w:rPr>
          <w:rFonts w:asciiTheme="minorHAnsi" w:hAnsiTheme="minorHAnsi" w:cstheme="minorHAnsi"/>
          <w:color w:val="000000"/>
          <w:bdr w:val="none" w:sz="0" w:space="0" w:color="auto" w:frame="1"/>
        </w:rPr>
        <w:t xml:space="preserve"> Cir 1983]), or in-court procedure</w:t>
      </w:r>
      <w:r w:rsidRPr="00D03A6A">
        <w:rPr>
          <w:rFonts w:asciiTheme="minorHAnsi" w:hAnsiTheme="minorHAnsi" w:cstheme="minorHAnsi"/>
          <w:color w:val="000000"/>
          <w:bdr w:val="none" w:sz="0" w:space="0" w:color="auto" w:frame="1"/>
        </w:rPr>
        <w:t xml:space="preserve"> as contemplated by </w:t>
      </w:r>
      <w:r w:rsidRPr="00D03A6A">
        <w:rPr>
          <w:rFonts w:asciiTheme="minorHAnsi" w:hAnsiTheme="minorHAnsi" w:cstheme="minorHAnsi"/>
          <w:i/>
          <w:iCs/>
          <w:color w:val="000000"/>
          <w:bdr w:val="none" w:sz="0" w:space="0" w:color="auto" w:frame="1"/>
        </w:rPr>
        <w:t>Archibald</w:t>
      </w:r>
      <w:r w:rsidRPr="00D03A6A">
        <w:rPr>
          <w:rFonts w:asciiTheme="minorHAnsi" w:hAnsiTheme="minorHAnsi" w:cstheme="minorHAnsi"/>
          <w:color w:val="000000"/>
          <w:bdr w:val="none" w:sz="0" w:space="0" w:color="auto" w:frame="1"/>
        </w:rPr>
        <w:t xml:space="preserve"> (734 F.2d </w:t>
      </w:r>
      <w:proofErr w:type="gramStart"/>
      <w:r w:rsidRPr="00D03A6A">
        <w:rPr>
          <w:rFonts w:asciiTheme="minorHAnsi" w:hAnsiTheme="minorHAnsi" w:cstheme="minorHAnsi"/>
          <w:color w:val="000000"/>
          <w:bdr w:val="none" w:sz="0" w:space="0" w:color="auto" w:frame="1"/>
        </w:rPr>
        <w:t>938</w:t>
      </w:r>
      <w:r w:rsidR="002C1B1A" w:rsidRPr="00D03A6A">
        <w:rPr>
          <w:rFonts w:asciiTheme="minorHAnsi" w:hAnsiTheme="minorHAnsi" w:cstheme="minorHAnsi"/>
          <w:color w:val="000000"/>
          <w:bdr w:val="none" w:sz="0" w:space="0" w:color="auto" w:frame="1"/>
        </w:rPr>
        <w:t>)</w:t>
      </w:r>
      <w:r w:rsidR="006E4A71" w:rsidRPr="00D03A6A">
        <w:rPr>
          <w:rFonts w:asciiTheme="minorHAnsi" w:hAnsiTheme="minorHAnsi" w:cstheme="minorHAnsi"/>
          <w:color w:val="000000"/>
          <w:bdr w:val="none" w:sz="0" w:space="0" w:color="auto" w:frame="1"/>
        </w:rPr>
        <w:t>(</w:t>
      </w:r>
      <w:proofErr w:type="gramEnd"/>
      <w:r w:rsidR="006E4A71" w:rsidRPr="00D03A6A">
        <w:rPr>
          <w:rFonts w:asciiTheme="minorHAnsi" w:hAnsiTheme="minorHAnsi" w:cstheme="minorHAnsi"/>
          <w:i/>
          <w:iCs/>
          <w:color w:val="000000"/>
          <w:bdr w:val="none" w:sz="0" w:space="0" w:color="auto" w:frame="1"/>
        </w:rPr>
        <w:t>Perdue</w:t>
      </w:r>
      <w:r w:rsidR="006E4A71" w:rsidRPr="00D03A6A">
        <w:rPr>
          <w:rFonts w:asciiTheme="minorHAnsi" w:hAnsiTheme="minorHAnsi" w:cstheme="minorHAnsi"/>
          <w:color w:val="000000"/>
          <w:bdr w:val="none" w:sz="0" w:space="0" w:color="auto" w:frame="1"/>
        </w:rPr>
        <w:t>, at 6)</w:t>
      </w:r>
      <w:r w:rsidR="002C1B1A" w:rsidRPr="00D03A6A">
        <w:rPr>
          <w:rFonts w:asciiTheme="minorHAnsi" w:hAnsiTheme="minorHAnsi" w:cstheme="minorHAnsi"/>
          <w:color w:val="000000"/>
          <w:bdr w:val="none" w:sz="0" w:space="0" w:color="auto" w:frame="1"/>
        </w:rPr>
        <w:t xml:space="preserve">. </w:t>
      </w:r>
      <w:r w:rsidRPr="00D03A6A">
        <w:rPr>
          <w:rFonts w:asciiTheme="minorHAnsi" w:hAnsiTheme="minorHAnsi" w:cstheme="minorHAnsi"/>
          <w:color w:val="000000"/>
          <w:bdr w:val="none" w:sz="0" w:space="0" w:color="auto" w:frame="1"/>
        </w:rPr>
        <w:t xml:space="preserve">These procedures would likely be conducted with counsel present, and potentially with judicial oversight, and thus are far less prone to </w:t>
      </w:r>
      <w:r w:rsidR="00773A55" w:rsidRPr="00D03A6A">
        <w:rPr>
          <w:rFonts w:asciiTheme="minorHAnsi" w:hAnsiTheme="minorHAnsi" w:cstheme="minorHAnsi"/>
          <w:color w:val="000000"/>
          <w:bdr w:val="none" w:sz="0" w:space="0" w:color="auto" w:frame="1"/>
        </w:rPr>
        <w:t>suggestiveness</w:t>
      </w:r>
      <w:r w:rsidRPr="00D03A6A">
        <w:rPr>
          <w:rFonts w:asciiTheme="minorHAnsi" w:hAnsiTheme="minorHAnsi" w:cstheme="minorHAnsi"/>
          <w:color w:val="000000"/>
          <w:bdr w:val="none" w:sz="0" w:space="0" w:color="auto" w:frame="1"/>
        </w:rPr>
        <w:t xml:space="preserve">. </w:t>
      </w:r>
      <w:r w:rsidR="0020205C" w:rsidRPr="00471E50">
        <w:rPr>
          <w:rFonts w:asciiTheme="minorHAnsi" w:hAnsiTheme="minorHAnsi" w:cstheme="minorHAnsi"/>
          <w:i/>
          <w:iCs/>
          <w:color w:val="000000"/>
          <w:bdr w:val="none" w:sz="0" w:space="0" w:color="auto" w:frame="1"/>
        </w:rPr>
        <w:t>Perdue</w:t>
      </w:r>
      <w:r w:rsidR="002C1B1A" w:rsidRPr="00D03A6A">
        <w:rPr>
          <w:rFonts w:asciiTheme="minorHAnsi" w:hAnsiTheme="minorHAnsi" w:cstheme="minorHAnsi"/>
          <w:color w:val="000000"/>
          <w:bdr w:val="none" w:sz="0" w:space="0" w:color="auto" w:frame="1"/>
        </w:rPr>
        <w:t xml:space="preserve"> stressed that a trial court’s “</w:t>
      </w:r>
      <w:r w:rsidR="002C1B1A" w:rsidRPr="00D03A6A">
        <w:rPr>
          <w:rFonts w:asciiTheme="minorHAnsi" w:hAnsiTheme="minorHAnsi" w:cstheme="minorHAnsi"/>
          <w:i/>
          <w:iCs/>
          <w:color w:val="000000"/>
          <w:bdr w:val="none" w:sz="0" w:space="0" w:color="auto" w:frame="1"/>
        </w:rPr>
        <w:t>obligation</w:t>
      </w:r>
      <w:r w:rsidR="002C1B1A" w:rsidRPr="00D03A6A">
        <w:rPr>
          <w:rFonts w:asciiTheme="minorHAnsi" w:hAnsiTheme="minorHAnsi" w:cstheme="minorHAnsi"/>
          <w:color w:val="000000"/>
          <w:bdr w:val="none" w:sz="0" w:space="0" w:color="auto" w:frame="1"/>
        </w:rPr>
        <w:t xml:space="preserve"> to take any action regarding a first-time, in-court identification is dependent upon a </w:t>
      </w:r>
      <w:r w:rsidR="002C1B1A" w:rsidRPr="00D03A6A">
        <w:rPr>
          <w:rFonts w:asciiTheme="minorHAnsi" w:hAnsiTheme="minorHAnsi" w:cstheme="minorHAnsi"/>
          <w:i/>
          <w:iCs/>
          <w:color w:val="000000"/>
          <w:bdr w:val="none" w:sz="0" w:space="0" w:color="auto" w:frame="1"/>
        </w:rPr>
        <w:t>timely request made by the defendant</w:t>
      </w:r>
      <w:r w:rsidR="002C1B1A" w:rsidRPr="00D03A6A">
        <w:rPr>
          <w:rFonts w:asciiTheme="minorHAnsi" w:hAnsiTheme="minorHAnsi" w:cstheme="minorHAnsi"/>
          <w:color w:val="000000"/>
          <w:bdr w:val="none" w:sz="0" w:space="0" w:color="auto" w:frame="1"/>
        </w:rPr>
        <w:t>”</w:t>
      </w:r>
      <w:r w:rsidR="006E4A71" w:rsidRPr="00D03A6A">
        <w:rPr>
          <w:rFonts w:asciiTheme="minorHAnsi" w:hAnsiTheme="minorHAnsi" w:cstheme="minorHAnsi"/>
          <w:color w:val="000000"/>
          <w:bdr w:val="none" w:sz="0" w:space="0" w:color="auto" w:frame="1"/>
        </w:rPr>
        <w:t xml:space="preserve"> (</w:t>
      </w:r>
      <w:r w:rsidR="006E4A71" w:rsidRPr="00D03A6A">
        <w:rPr>
          <w:rFonts w:asciiTheme="minorHAnsi" w:hAnsiTheme="minorHAnsi" w:cstheme="minorHAnsi"/>
          <w:i/>
          <w:iCs/>
          <w:color w:val="000000"/>
          <w:bdr w:val="none" w:sz="0" w:space="0" w:color="auto" w:frame="1"/>
        </w:rPr>
        <w:t>Id</w:t>
      </w:r>
      <w:r w:rsidR="006E4A71" w:rsidRPr="00D03A6A">
        <w:rPr>
          <w:rFonts w:asciiTheme="minorHAnsi" w:hAnsiTheme="minorHAnsi" w:cstheme="minorHAnsi"/>
          <w:color w:val="000000"/>
          <w:bdr w:val="none" w:sz="0" w:space="0" w:color="auto" w:frame="1"/>
        </w:rPr>
        <w:t xml:space="preserve">., at 7). This undoubtedly means that where there is no request, or a late request, trial courts will be back in </w:t>
      </w:r>
      <w:proofErr w:type="gramStart"/>
      <w:r w:rsidR="006E4A71" w:rsidRPr="00D03A6A">
        <w:rPr>
          <w:rFonts w:asciiTheme="minorHAnsi" w:hAnsiTheme="minorHAnsi" w:cstheme="minorHAnsi"/>
          <w:i/>
          <w:iCs/>
          <w:color w:val="000000"/>
          <w:bdr w:val="none" w:sz="0" w:space="0" w:color="auto" w:frame="1"/>
        </w:rPr>
        <w:t>Williams</w:t>
      </w:r>
      <w:proofErr w:type="gramEnd"/>
      <w:r w:rsidR="006E4A71" w:rsidRPr="00D03A6A">
        <w:rPr>
          <w:rFonts w:asciiTheme="minorHAnsi" w:hAnsiTheme="minorHAnsi" w:cstheme="minorHAnsi"/>
          <w:color w:val="000000"/>
          <w:bdr w:val="none" w:sz="0" w:space="0" w:color="auto" w:frame="1"/>
        </w:rPr>
        <w:t xml:space="preserve"> territory -- where these kinds of procedures are nice, but not necessary. </w:t>
      </w:r>
    </w:p>
    <w:p w14:paraId="69DED88F" w14:textId="59C0E6C3" w:rsidR="00110EFB" w:rsidRPr="00D03A6A" w:rsidRDefault="00110EFB" w:rsidP="00110EFB">
      <w:pPr>
        <w:pStyle w:val="NormalWeb"/>
        <w:shd w:val="clear" w:color="auto" w:fill="FFFFFF"/>
        <w:spacing w:before="0" w:after="0"/>
        <w:textAlignment w:val="baseline"/>
        <w:rPr>
          <w:rFonts w:asciiTheme="minorHAnsi" w:hAnsiTheme="minorHAnsi" w:cstheme="minorHAnsi"/>
          <w:color w:val="000000"/>
          <w:bdr w:val="none" w:sz="0" w:space="0" w:color="auto" w:frame="1"/>
        </w:rPr>
      </w:pPr>
      <w:r w:rsidRPr="00D03A6A">
        <w:rPr>
          <w:rFonts w:asciiTheme="minorHAnsi" w:hAnsiTheme="minorHAnsi" w:cstheme="minorHAnsi"/>
          <w:color w:val="000000"/>
          <w:bdr w:val="none" w:sz="0" w:space="0" w:color="auto" w:frame="1"/>
        </w:rPr>
        <w:t>Finally,</w:t>
      </w:r>
      <w:r w:rsidR="00927FBF" w:rsidRPr="00D03A6A">
        <w:rPr>
          <w:rFonts w:asciiTheme="minorHAnsi" w:hAnsiTheme="minorHAnsi" w:cstheme="minorHAnsi"/>
          <w:color w:val="000000"/>
          <w:bdr w:val="none" w:sz="0" w:space="0" w:color="auto" w:frame="1"/>
        </w:rPr>
        <w:t xml:space="preserve"> </w:t>
      </w:r>
      <w:r w:rsidRPr="0023573B">
        <w:rPr>
          <w:rStyle w:val="markx5nt7gg0u"/>
          <w:rFonts w:asciiTheme="minorHAnsi" w:hAnsiTheme="minorHAnsi" w:cstheme="minorHAnsi"/>
          <w:i/>
          <w:iCs/>
          <w:color w:val="000000"/>
          <w:bdr w:val="none" w:sz="0" w:space="0" w:color="auto" w:frame="1"/>
        </w:rPr>
        <w:t>Perdue</w:t>
      </w:r>
      <w:r w:rsidRPr="00D03A6A">
        <w:rPr>
          <w:rFonts w:asciiTheme="minorHAnsi" w:hAnsiTheme="minorHAnsi" w:cstheme="minorHAnsi"/>
          <w:color w:val="000000"/>
          <w:bdr w:val="none" w:sz="0" w:space="0" w:color="auto" w:frame="1"/>
        </w:rPr>
        <w:t> is not unmindful of the role misidentification plays in wrongful convictions, and, as such, vests with the trial court the</w:t>
      </w:r>
      <w:r w:rsidR="0012475A" w:rsidRPr="00D03A6A">
        <w:rPr>
          <w:rFonts w:asciiTheme="minorHAnsi" w:hAnsiTheme="minorHAnsi" w:cstheme="minorHAnsi"/>
          <w:color w:val="000000"/>
          <w:bdr w:val="none" w:sz="0" w:space="0" w:color="auto" w:frame="1"/>
        </w:rPr>
        <w:t xml:space="preserve"> ultimate</w:t>
      </w:r>
      <w:r w:rsidRPr="00D03A6A">
        <w:rPr>
          <w:rFonts w:asciiTheme="minorHAnsi" w:hAnsiTheme="minorHAnsi" w:cstheme="minorHAnsi"/>
          <w:color w:val="000000"/>
          <w:bdr w:val="none" w:sz="0" w:space="0" w:color="auto" w:frame="1"/>
        </w:rPr>
        <w:t xml:space="preserve"> obligation of weighing the probative value of in-court identification against the prospect of misidentification and the discretion to admit or preclude such testimony. </w:t>
      </w:r>
      <w:r w:rsidR="00D54AF3">
        <w:rPr>
          <w:rFonts w:asciiTheme="minorHAnsi" w:hAnsiTheme="minorHAnsi" w:cstheme="minorHAnsi"/>
          <w:color w:val="000000"/>
          <w:bdr w:val="none" w:sz="0" w:space="0" w:color="auto" w:frame="1"/>
        </w:rPr>
        <w:t>If a trial court concludes that based on the results of a special procedure, in-court identification evidence is too unreliable, it has the authority to preclude it.</w:t>
      </w:r>
    </w:p>
    <w:p w14:paraId="5C245638" w14:textId="49DD4EC6" w:rsidR="00110EFB" w:rsidRPr="00D03A6A" w:rsidRDefault="00110EFB" w:rsidP="00110EFB">
      <w:pPr>
        <w:pStyle w:val="NormalWeb"/>
        <w:shd w:val="clear" w:color="auto" w:fill="FFFFFF"/>
        <w:spacing w:before="0" w:after="0"/>
        <w:textAlignment w:val="baseline"/>
        <w:rPr>
          <w:rFonts w:asciiTheme="minorHAnsi" w:hAnsiTheme="minorHAnsi" w:cstheme="minorHAnsi"/>
          <w:color w:val="242424"/>
        </w:rPr>
      </w:pPr>
      <w:r w:rsidRPr="00D03A6A">
        <w:rPr>
          <w:rFonts w:asciiTheme="minorHAnsi" w:hAnsiTheme="minorHAnsi" w:cstheme="minorHAnsi"/>
          <w:color w:val="242424"/>
          <w:bdr w:val="none" w:sz="0" w:space="0" w:color="auto" w:frame="1"/>
        </w:rPr>
        <w:t> </w:t>
      </w:r>
      <w:r w:rsidRPr="00D03A6A">
        <w:rPr>
          <w:rFonts w:asciiTheme="minorHAnsi" w:hAnsiTheme="minorHAnsi" w:cstheme="minorHAnsi"/>
          <w:color w:val="000000"/>
          <w:bdr w:val="none" w:sz="0" w:space="0" w:color="auto" w:frame="1"/>
        </w:rPr>
        <w:t>Attorneys with cases where identification is at issue are encouraged to read </w:t>
      </w:r>
      <w:r w:rsidRPr="00D03A6A">
        <w:rPr>
          <w:rStyle w:val="markx5nt7gg0u"/>
          <w:rFonts w:asciiTheme="minorHAnsi" w:hAnsiTheme="minorHAnsi" w:cstheme="minorHAnsi"/>
          <w:i/>
          <w:iCs/>
          <w:color w:val="000000"/>
          <w:bdr w:val="none" w:sz="0" w:space="0" w:color="auto" w:frame="1"/>
        </w:rPr>
        <w:t>Perdue</w:t>
      </w:r>
      <w:r w:rsidR="00D03A6A">
        <w:rPr>
          <w:rFonts w:asciiTheme="minorHAnsi" w:hAnsiTheme="minorHAnsi" w:cstheme="minorHAnsi"/>
          <w:color w:val="242424"/>
        </w:rPr>
        <w:t xml:space="preserve"> </w:t>
      </w:r>
      <w:r w:rsidRPr="00D03A6A">
        <w:rPr>
          <w:rFonts w:asciiTheme="minorHAnsi" w:hAnsiTheme="minorHAnsi" w:cstheme="minorHAnsi"/>
          <w:color w:val="000000"/>
          <w:bdr w:val="none" w:sz="0" w:space="0" w:color="auto" w:frame="1"/>
          <w:shd w:val="clear" w:color="auto" w:fill="FFFFFF"/>
        </w:rPr>
        <w:t>(</w:t>
      </w:r>
      <w:hyperlink r:id="rId4" w:tgtFrame="_blank" w:history="1">
        <w:r w:rsidRPr="00D03A6A">
          <w:rPr>
            <w:rStyle w:val="Hyperlink"/>
            <w:rFonts w:asciiTheme="minorHAnsi" w:hAnsiTheme="minorHAnsi" w:cstheme="minorHAnsi"/>
            <w:bdr w:val="none" w:sz="0" w:space="0" w:color="auto" w:frame="1"/>
            <w:shd w:val="clear" w:color="auto" w:fill="FFFFFF"/>
          </w:rPr>
          <w:t>https://www.nycourts.gov/ctapps/Decisions/2023/Dec23/28opn23-Decision.pdf</w:t>
        </w:r>
      </w:hyperlink>
      <w:r w:rsidRPr="00D03A6A">
        <w:rPr>
          <w:rFonts w:asciiTheme="minorHAnsi" w:hAnsiTheme="minorHAnsi" w:cstheme="minorHAnsi"/>
          <w:color w:val="242424"/>
          <w:bdr w:val="none" w:sz="0" w:space="0" w:color="auto" w:frame="1"/>
          <w:shd w:val="clear" w:color="auto" w:fill="FFFFFF"/>
        </w:rPr>
        <w:t>)</w:t>
      </w:r>
      <w:r w:rsidRPr="00D03A6A">
        <w:rPr>
          <w:rFonts w:asciiTheme="minorHAnsi" w:hAnsiTheme="minorHAnsi" w:cstheme="minorHAnsi"/>
          <w:color w:val="000000"/>
          <w:bdr w:val="none" w:sz="0" w:space="0" w:color="auto" w:frame="1"/>
        </w:rPr>
        <w:t>. And, where discovery materials indicate the possibility of first-time, in-court identification evidence, insist -- in the absence of prompt notice (or </w:t>
      </w:r>
      <w:r w:rsidRPr="00D03A6A">
        <w:rPr>
          <w:rStyle w:val="markx5nt7gg0u"/>
          <w:rFonts w:asciiTheme="minorHAnsi" w:hAnsiTheme="minorHAnsi" w:cstheme="minorHAnsi"/>
          <w:i/>
          <w:iCs/>
          <w:color w:val="000000"/>
          <w:bdr w:val="none" w:sz="0" w:space="0" w:color="auto" w:frame="1"/>
        </w:rPr>
        <w:t>Perdue</w:t>
      </w:r>
      <w:r w:rsidRPr="00D03A6A">
        <w:rPr>
          <w:rFonts w:asciiTheme="minorHAnsi" w:hAnsiTheme="minorHAnsi" w:cstheme="minorHAnsi"/>
          <w:color w:val="000000"/>
          <w:bdr w:val="none" w:sz="0" w:space="0" w:color="auto" w:frame="1"/>
        </w:rPr>
        <w:t>-like constructive notice) -- on preclusion. Alternatively, where prompt notice is given, counsel should weigh the tactical benefits of making use of an </w:t>
      </w:r>
      <w:r w:rsidRPr="00D03A6A">
        <w:rPr>
          <w:rFonts w:asciiTheme="minorHAnsi" w:hAnsiTheme="minorHAnsi" w:cstheme="minorHAnsi"/>
          <w:i/>
          <w:iCs/>
          <w:color w:val="000000"/>
          <w:bdr w:val="none" w:sz="0" w:space="0" w:color="auto" w:frame="1"/>
        </w:rPr>
        <w:t>Archibald</w:t>
      </w:r>
      <w:r w:rsidRPr="00D03A6A">
        <w:rPr>
          <w:rFonts w:asciiTheme="minorHAnsi" w:hAnsiTheme="minorHAnsi" w:cstheme="minorHAnsi"/>
          <w:color w:val="000000"/>
          <w:bdr w:val="none" w:sz="0" w:space="0" w:color="auto" w:frame="1"/>
        </w:rPr>
        <w:t>-type procedure versus simply cross-examining the witness.  </w:t>
      </w:r>
      <w:r w:rsidR="00D54AF3">
        <w:rPr>
          <w:rFonts w:asciiTheme="minorHAnsi" w:hAnsiTheme="minorHAnsi" w:cstheme="minorHAnsi"/>
          <w:color w:val="000000"/>
          <w:bdr w:val="none" w:sz="0" w:space="0" w:color="auto" w:frame="1"/>
        </w:rPr>
        <w:t xml:space="preserve">Where a special procedure is conducted, counsel can and should argue -- where the facts support the claim -- that the in-court identification is not sufficiently reliable and, therefore, inadmissible. </w:t>
      </w:r>
      <w:r w:rsidR="0023573B">
        <w:rPr>
          <w:rFonts w:asciiTheme="minorHAnsi" w:hAnsiTheme="minorHAnsi" w:cstheme="minorHAnsi"/>
          <w:color w:val="000000"/>
          <w:bdr w:val="none" w:sz="0" w:space="0" w:color="auto" w:frame="1"/>
        </w:rPr>
        <w:t>And, no matter what path counsel elects, the CJI’s charge on identification (</w:t>
      </w:r>
      <w:hyperlink r:id="rId5" w:history="1">
        <w:r w:rsidR="0023573B" w:rsidRPr="009E5C2B">
          <w:rPr>
            <w:rStyle w:val="Hyperlink"/>
            <w:rFonts w:asciiTheme="minorHAnsi" w:hAnsiTheme="minorHAnsi" w:cstheme="minorHAnsi"/>
            <w:bdr w:val="none" w:sz="0" w:space="0" w:color="auto" w:frame="1"/>
          </w:rPr>
          <w:t>https://www.nycourts.gov/judges/cji/1-General/ALPHA_TOC.shtml</w:t>
        </w:r>
      </w:hyperlink>
      <w:r w:rsidR="0023573B">
        <w:rPr>
          <w:rFonts w:asciiTheme="minorHAnsi" w:hAnsiTheme="minorHAnsi" w:cstheme="minorHAnsi"/>
          <w:color w:val="000000"/>
          <w:bdr w:val="none" w:sz="0" w:space="0" w:color="auto" w:frame="1"/>
        </w:rPr>
        <w:t>) should always be consulted and used.</w:t>
      </w:r>
    </w:p>
    <w:p w14:paraId="31A031BF" w14:textId="77777777" w:rsidR="00A16909" w:rsidRDefault="00A16909"/>
    <w:sectPr w:rsidR="00A16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EFB"/>
    <w:rsid w:val="000514D9"/>
    <w:rsid w:val="00075B10"/>
    <w:rsid w:val="00091CDF"/>
    <w:rsid w:val="00110EFB"/>
    <w:rsid w:val="0012475A"/>
    <w:rsid w:val="001345F8"/>
    <w:rsid w:val="0020205C"/>
    <w:rsid w:val="0023573B"/>
    <w:rsid w:val="0025441B"/>
    <w:rsid w:val="002C1B1A"/>
    <w:rsid w:val="00395993"/>
    <w:rsid w:val="003B2F48"/>
    <w:rsid w:val="003B5013"/>
    <w:rsid w:val="003E4FCE"/>
    <w:rsid w:val="00471E50"/>
    <w:rsid w:val="004B46C8"/>
    <w:rsid w:val="00567768"/>
    <w:rsid w:val="0058282F"/>
    <w:rsid w:val="00623F30"/>
    <w:rsid w:val="006E4A71"/>
    <w:rsid w:val="006F4609"/>
    <w:rsid w:val="007163F9"/>
    <w:rsid w:val="00773A55"/>
    <w:rsid w:val="008A6CF2"/>
    <w:rsid w:val="009014D5"/>
    <w:rsid w:val="0090738E"/>
    <w:rsid w:val="00927FBF"/>
    <w:rsid w:val="009F5B80"/>
    <w:rsid w:val="00A16909"/>
    <w:rsid w:val="00A51F19"/>
    <w:rsid w:val="00A8288C"/>
    <w:rsid w:val="00C7315A"/>
    <w:rsid w:val="00C93470"/>
    <w:rsid w:val="00D03A6A"/>
    <w:rsid w:val="00D31E02"/>
    <w:rsid w:val="00D53274"/>
    <w:rsid w:val="00D54AF3"/>
    <w:rsid w:val="00D7628B"/>
    <w:rsid w:val="00D93380"/>
    <w:rsid w:val="00DF4C58"/>
    <w:rsid w:val="00E563F0"/>
    <w:rsid w:val="00EB7B39"/>
    <w:rsid w:val="00EC0008"/>
    <w:rsid w:val="00F21748"/>
    <w:rsid w:val="00FA1B6A"/>
    <w:rsid w:val="00FD5F0E"/>
    <w:rsid w:val="00FF6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9DADA"/>
  <w15:chartTrackingRefBased/>
  <w15:docId w15:val="{620778C4-941D-4F9F-BB5E-C0D16BD7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0EF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markx5nt7gg0u">
    <w:name w:val="markx5nt7gg0u"/>
    <w:basedOn w:val="DefaultParagraphFont"/>
    <w:rsid w:val="00110EFB"/>
  </w:style>
  <w:style w:type="character" w:styleId="Hyperlink">
    <w:name w:val="Hyperlink"/>
    <w:basedOn w:val="DefaultParagraphFont"/>
    <w:uiPriority w:val="99"/>
    <w:unhideWhenUsed/>
    <w:rsid w:val="00110EFB"/>
    <w:rPr>
      <w:color w:val="0000FF"/>
      <w:u w:val="single"/>
    </w:rPr>
  </w:style>
  <w:style w:type="character" w:styleId="UnresolvedMention">
    <w:name w:val="Unresolved Mention"/>
    <w:basedOn w:val="DefaultParagraphFont"/>
    <w:uiPriority w:val="99"/>
    <w:semiHidden/>
    <w:unhideWhenUsed/>
    <w:rsid w:val="002357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0121814">
      <w:bodyDiv w:val="1"/>
      <w:marLeft w:val="0"/>
      <w:marRight w:val="0"/>
      <w:marTop w:val="0"/>
      <w:marBottom w:val="0"/>
      <w:divBdr>
        <w:top w:val="none" w:sz="0" w:space="0" w:color="auto"/>
        <w:left w:val="none" w:sz="0" w:space="0" w:color="auto"/>
        <w:bottom w:val="none" w:sz="0" w:space="0" w:color="auto"/>
        <w:right w:val="none" w:sz="0" w:space="0" w:color="auto"/>
      </w:divBdr>
      <w:divsChild>
        <w:div w:id="408312489">
          <w:marLeft w:val="360"/>
          <w:marRight w:val="0"/>
          <w:marTop w:val="200"/>
          <w:marBottom w:val="0"/>
          <w:divBdr>
            <w:top w:val="none" w:sz="0" w:space="0" w:color="auto"/>
            <w:left w:val="none" w:sz="0" w:space="0" w:color="auto"/>
            <w:bottom w:val="none" w:sz="0" w:space="0" w:color="auto"/>
            <w:right w:val="none" w:sz="0" w:space="0" w:color="auto"/>
          </w:divBdr>
        </w:div>
      </w:divsChild>
    </w:div>
    <w:div w:id="1903249926">
      <w:bodyDiv w:val="1"/>
      <w:marLeft w:val="0"/>
      <w:marRight w:val="0"/>
      <w:marTop w:val="0"/>
      <w:marBottom w:val="0"/>
      <w:divBdr>
        <w:top w:val="none" w:sz="0" w:space="0" w:color="auto"/>
        <w:left w:val="none" w:sz="0" w:space="0" w:color="auto"/>
        <w:bottom w:val="none" w:sz="0" w:space="0" w:color="auto"/>
        <w:right w:val="none" w:sz="0" w:space="0" w:color="auto"/>
      </w:divBdr>
      <w:divsChild>
        <w:div w:id="1662926638">
          <w:marLeft w:val="0"/>
          <w:marRight w:val="0"/>
          <w:marTop w:val="0"/>
          <w:marBottom w:val="0"/>
          <w:divBdr>
            <w:top w:val="none" w:sz="0" w:space="0" w:color="auto"/>
            <w:left w:val="none" w:sz="0" w:space="0" w:color="auto"/>
            <w:bottom w:val="none" w:sz="0" w:space="0" w:color="auto"/>
            <w:right w:val="none" w:sz="0" w:space="0" w:color="auto"/>
          </w:divBdr>
        </w:div>
        <w:div w:id="1485707929">
          <w:marLeft w:val="0"/>
          <w:marRight w:val="0"/>
          <w:marTop w:val="0"/>
          <w:marBottom w:val="0"/>
          <w:divBdr>
            <w:top w:val="none" w:sz="0" w:space="0" w:color="auto"/>
            <w:left w:val="none" w:sz="0" w:space="0" w:color="auto"/>
            <w:bottom w:val="none" w:sz="0" w:space="0" w:color="auto"/>
            <w:right w:val="none" w:sz="0" w:space="0" w:color="auto"/>
          </w:divBdr>
        </w:div>
        <w:div w:id="2144883562">
          <w:marLeft w:val="0"/>
          <w:marRight w:val="0"/>
          <w:marTop w:val="0"/>
          <w:marBottom w:val="0"/>
          <w:divBdr>
            <w:top w:val="none" w:sz="0" w:space="0" w:color="auto"/>
            <w:left w:val="none" w:sz="0" w:space="0" w:color="auto"/>
            <w:bottom w:val="none" w:sz="0" w:space="0" w:color="auto"/>
            <w:right w:val="none" w:sz="0" w:space="0" w:color="auto"/>
          </w:divBdr>
        </w:div>
        <w:div w:id="478424623">
          <w:marLeft w:val="0"/>
          <w:marRight w:val="0"/>
          <w:marTop w:val="0"/>
          <w:marBottom w:val="0"/>
          <w:divBdr>
            <w:top w:val="none" w:sz="0" w:space="0" w:color="auto"/>
            <w:left w:val="none" w:sz="0" w:space="0" w:color="auto"/>
            <w:bottom w:val="none" w:sz="0" w:space="0" w:color="auto"/>
            <w:right w:val="none" w:sz="0" w:space="0" w:color="auto"/>
          </w:divBdr>
        </w:div>
        <w:div w:id="1406805365">
          <w:marLeft w:val="0"/>
          <w:marRight w:val="0"/>
          <w:marTop w:val="0"/>
          <w:marBottom w:val="0"/>
          <w:divBdr>
            <w:top w:val="none" w:sz="0" w:space="0" w:color="auto"/>
            <w:left w:val="none" w:sz="0" w:space="0" w:color="auto"/>
            <w:bottom w:val="none" w:sz="0" w:space="0" w:color="auto"/>
            <w:right w:val="none" w:sz="0" w:space="0" w:color="auto"/>
          </w:divBdr>
        </w:div>
        <w:div w:id="500580171">
          <w:marLeft w:val="0"/>
          <w:marRight w:val="0"/>
          <w:marTop w:val="0"/>
          <w:marBottom w:val="0"/>
          <w:divBdr>
            <w:top w:val="none" w:sz="0" w:space="0" w:color="auto"/>
            <w:left w:val="none" w:sz="0" w:space="0" w:color="auto"/>
            <w:bottom w:val="none" w:sz="0" w:space="0" w:color="auto"/>
            <w:right w:val="none" w:sz="0" w:space="0" w:color="auto"/>
          </w:divBdr>
        </w:div>
        <w:div w:id="1297640575">
          <w:marLeft w:val="0"/>
          <w:marRight w:val="0"/>
          <w:marTop w:val="0"/>
          <w:marBottom w:val="0"/>
          <w:divBdr>
            <w:top w:val="none" w:sz="0" w:space="0" w:color="auto"/>
            <w:left w:val="none" w:sz="0" w:space="0" w:color="auto"/>
            <w:bottom w:val="none" w:sz="0" w:space="0" w:color="auto"/>
            <w:right w:val="none" w:sz="0" w:space="0" w:color="auto"/>
          </w:divBdr>
        </w:div>
        <w:div w:id="2043165114">
          <w:marLeft w:val="0"/>
          <w:marRight w:val="0"/>
          <w:marTop w:val="0"/>
          <w:marBottom w:val="0"/>
          <w:divBdr>
            <w:top w:val="none" w:sz="0" w:space="0" w:color="auto"/>
            <w:left w:val="none" w:sz="0" w:space="0" w:color="auto"/>
            <w:bottom w:val="none" w:sz="0" w:space="0" w:color="auto"/>
            <w:right w:val="none" w:sz="0" w:space="0" w:color="auto"/>
          </w:divBdr>
        </w:div>
        <w:div w:id="529688610">
          <w:marLeft w:val="0"/>
          <w:marRight w:val="0"/>
          <w:marTop w:val="0"/>
          <w:marBottom w:val="0"/>
          <w:divBdr>
            <w:top w:val="none" w:sz="0" w:space="0" w:color="auto"/>
            <w:left w:val="none" w:sz="0" w:space="0" w:color="auto"/>
            <w:bottom w:val="none" w:sz="0" w:space="0" w:color="auto"/>
            <w:right w:val="none" w:sz="0" w:space="0" w:color="auto"/>
          </w:divBdr>
        </w:div>
        <w:div w:id="328949141">
          <w:marLeft w:val="0"/>
          <w:marRight w:val="0"/>
          <w:marTop w:val="0"/>
          <w:marBottom w:val="0"/>
          <w:divBdr>
            <w:top w:val="none" w:sz="0" w:space="0" w:color="auto"/>
            <w:left w:val="none" w:sz="0" w:space="0" w:color="auto"/>
            <w:bottom w:val="none" w:sz="0" w:space="0" w:color="auto"/>
            <w:right w:val="none" w:sz="0" w:space="0" w:color="auto"/>
          </w:divBdr>
        </w:div>
        <w:div w:id="1168449827">
          <w:marLeft w:val="0"/>
          <w:marRight w:val="0"/>
          <w:marTop w:val="0"/>
          <w:marBottom w:val="0"/>
          <w:divBdr>
            <w:top w:val="none" w:sz="0" w:space="0" w:color="auto"/>
            <w:left w:val="none" w:sz="0" w:space="0" w:color="auto"/>
            <w:bottom w:val="none" w:sz="0" w:space="0" w:color="auto"/>
            <w:right w:val="none" w:sz="0" w:space="0" w:color="auto"/>
          </w:divBdr>
        </w:div>
        <w:div w:id="1260061025">
          <w:marLeft w:val="0"/>
          <w:marRight w:val="0"/>
          <w:marTop w:val="0"/>
          <w:marBottom w:val="0"/>
          <w:divBdr>
            <w:top w:val="none" w:sz="0" w:space="0" w:color="auto"/>
            <w:left w:val="none" w:sz="0" w:space="0" w:color="auto"/>
            <w:bottom w:val="none" w:sz="0" w:space="0" w:color="auto"/>
            <w:right w:val="none" w:sz="0" w:space="0" w:color="auto"/>
          </w:divBdr>
        </w:div>
        <w:div w:id="1828476079">
          <w:marLeft w:val="0"/>
          <w:marRight w:val="0"/>
          <w:marTop w:val="0"/>
          <w:marBottom w:val="0"/>
          <w:divBdr>
            <w:top w:val="none" w:sz="0" w:space="0" w:color="auto"/>
            <w:left w:val="none" w:sz="0" w:space="0" w:color="auto"/>
            <w:bottom w:val="none" w:sz="0" w:space="0" w:color="auto"/>
            <w:right w:val="none" w:sz="0" w:space="0" w:color="auto"/>
          </w:divBdr>
        </w:div>
        <w:div w:id="1791320711">
          <w:marLeft w:val="0"/>
          <w:marRight w:val="0"/>
          <w:marTop w:val="0"/>
          <w:marBottom w:val="0"/>
          <w:divBdr>
            <w:top w:val="none" w:sz="0" w:space="0" w:color="auto"/>
            <w:left w:val="none" w:sz="0" w:space="0" w:color="auto"/>
            <w:bottom w:val="none" w:sz="0" w:space="0" w:color="auto"/>
            <w:right w:val="none" w:sz="0" w:space="0" w:color="auto"/>
          </w:divBdr>
        </w:div>
        <w:div w:id="208878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ycourts.gov/judges/cji/1-General/ALPHA_TOC.shtml" TargetMode="External"/><Relationship Id="rId4" Type="http://schemas.openxmlformats.org/officeDocument/2006/relationships/hyperlink" Target="https://www.nycourts.gov/ctapps/Decisions/2023/Dec23/28opn23-Deci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1820</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Powers</dc:creator>
  <cp:keywords/>
  <dc:description/>
  <cp:lastModifiedBy>Matthew  Powers</cp:lastModifiedBy>
  <cp:revision>2</cp:revision>
  <cp:lastPrinted>2024-02-26T16:16:00Z</cp:lastPrinted>
  <dcterms:created xsi:type="dcterms:W3CDTF">2024-02-26T17:39:00Z</dcterms:created>
  <dcterms:modified xsi:type="dcterms:W3CDTF">2024-02-26T17:39:00Z</dcterms:modified>
</cp:coreProperties>
</file>