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570F" w14:textId="37344870" w:rsidR="00A53F2D" w:rsidRDefault="00BC6EF1">
      <w:r>
        <w:t xml:space="preserve">                                                APPEALING ADVERSE SUPPRESSION ORDERS </w:t>
      </w:r>
    </w:p>
    <w:p w14:paraId="038475F6" w14:textId="77777777" w:rsidR="00BC6EF1" w:rsidRDefault="00BC6EF1"/>
    <w:p w14:paraId="2FFADCA0" w14:textId="77777777" w:rsidR="00BC6EF1" w:rsidRDefault="00BC6EF1"/>
    <w:p w14:paraId="70BD95A1" w14:textId="1DFD9CDB" w:rsidR="00BC6EF1" w:rsidRPr="0082617C" w:rsidRDefault="00BC6EF1">
      <w:r w:rsidRPr="0082617C">
        <w:t>Thomas P. Franczyk</w:t>
      </w:r>
    </w:p>
    <w:p w14:paraId="69E00995" w14:textId="52BB0DE2" w:rsidR="00BC6EF1" w:rsidRPr="0082617C" w:rsidRDefault="00BC6EF1">
      <w:r w:rsidRPr="0082617C">
        <w:t xml:space="preserve">Mentor-at-Large to the </w:t>
      </w:r>
    </w:p>
    <w:p w14:paraId="2B481989" w14:textId="2A5E438E" w:rsidR="00BC6EF1" w:rsidRPr="0082617C" w:rsidRDefault="00BC6EF1">
      <w:r w:rsidRPr="0082617C">
        <w:t>Assigned Counsel Program</w:t>
      </w:r>
    </w:p>
    <w:p w14:paraId="5B791218" w14:textId="612BC8D7" w:rsidR="00BC6EF1" w:rsidRPr="0082617C" w:rsidRDefault="006A5B2E">
      <w:r w:rsidRPr="0082617C">
        <w:t>December</w:t>
      </w:r>
      <w:r w:rsidR="00BC6EF1" w:rsidRPr="0082617C">
        <w:t xml:space="preserve"> 2023</w:t>
      </w:r>
    </w:p>
    <w:p w14:paraId="46C6DB3F" w14:textId="77777777" w:rsidR="00E35787" w:rsidRPr="0082617C" w:rsidRDefault="00E35787"/>
    <w:p w14:paraId="0AA6885F" w14:textId="55B30727" w:rsidR="00E35787" w:rsidRPr="0082617C" w:rsidRDefault="00E35787">
      <w:r w:rsidRPr="0082617C">
        <w:t>INTRODUCTION</w:t>
      </w:r>
    </w:p>
    <w:p w14:paraId="65BAB7D4" w14:textId="29BE2A1E" w:rsidR="00E35787" w:rsidRPr="0082617C" w:rsidRDefault="000F7FFB">
      <w:r w:rsidRPr="0082617C">
        <w:t>Criminal case</w:t>
      </w:r>
      <w:r w:rsidR="00F2089E" w:rsidRPr="0082617C">
        <w:t>s</w:t>
      </w:r>
      <w:r w:rsidRPr="0082617C">
        <w:t>,</w:t>
      </w:r>
      <w:r w:rsidR="0095124E" w:rsidRPr="0082617C">
        <w:t xml:space="preserve"> most frequently those involving possession of drugs, </w:t>
      </w:r>
      <w:r w:rsidR="00C9359F" w:rsidRPr="0082617C">
        <w:t xml:space="preserve">guns, </w:t>
      </w:r>
      <w:r w:rsidR="00792176" w:rsidRPr="0082617C">
        <w:t xml:space="preserve">or stolen property, often rise or fall, not </w:t>
      </w:r>
      <w:r w:rsidR="00A86590" w:rsidRPr="0082617C">
        <w:t xml:space="preserve">upon verdicts but upon </w:t>
      </w:r>
      <w:r w:rsidR="00EF643B" w:rsidRPr="0082617C">
        <w:t xml:space="preserve">decisions of the trial court granting or denying </w:t>
      </w:r>
      <w:r w:rsidR="00F2089E" w:rsidRPr="0082617C">
        <w:t xml:space="preserve">suppression of </w:t>
      </w:r>
      <w:r w:rsidR="004818FA" w:rsidRPr="0082617C">
        <w:t>critical evidence.</w:t>
      </w:r>
    </w:p>
    <w:p w14:paraId="500A6AE0" w14:textId="6895006F" w:rsidR="00CF1A38" w:rsidRPr="0082617C" w:rsidRDefault="004818FA">
      <w:r w:rsidRPr="0082617C">
        <w:t xml:space="preserve">When a motion to suppress is denied, the defendant must decide whether to cut his/her losses and plead guilty (preferably to a </w:t>
      </w:r>
      <w:r w:rsidR="00893442" w:rsidRPr="0082617C">
        <w:t xml:space="preserve">lesser offense) or roll the dice at trial. </w:t>
      </w:r>
      <w:r w:rsidR="00436F7E" w:rsidRPr="0082617C">
        <w:t>If there is an ac</w:t>
      </w:r>
      <w:r w:rsidR="00AF4818" w:rsidRPr="0082617C">
        <w:t xml:space="preserve">quittal </w:t>
      </w:r>
      <w:r w:rsidR="006A0D4E" w:rsidRPr="0082617C">
        <w:t xml:space="preserve">despite </w:t>
      </w:r>
      <w:r w:rsidR="00AF4818" w:rsidRPr="0082617C">
        <w:t xml:space="preserve">the court’s order, </w:t>
      </w:r>
      <w:r w:rsidR="0066088C" w:rsidRPr="0082617C">
        <w:t>the</w:t>
      </w:r>
      <w:r w:rsidR="00AF4818" w:rsidRPr="0082617C">
        <w:t xml:space="preserve"> defendant (assuming there are no detainers) may </w:t>
      </w:r>
      <w:r w:rsidR="00642AA1" w:rsidRPr="0082617C">
        <w:t>get on with his/her life u</w:t>
      </w:r>
      <w:r w:rsidR="00FF0937" w:rsidRPr="0082617C">
        <w:t>nrestrained by legal encumbrances.</w:t>
      </w:r>
    </w:p>
    <w:p w14:paraId="02FB8471" w14:textId="67C4BBF7" w:rsidR="004818FA" w:rsidRPr="0082617C" w:rsidRDefault="00322556">
      <w:r w:rsidRPr="0082617C">
        <w:t xml:space="preserve"> </w:t>
      </w:r>
      <w:r w:rsidR="008B2288" w:rsidRPr="0082617C">
        <w:t xml:space="preserve">If </w:t>
      </w:r>
      <w:r w:rsidR="00BC043A" w:rsidRPr="0082617C">
        <w:t>found guilty</w:t>
      </w:r>
      <w:r w:rsidR="008B2288" w:rsidRPr="0082617C">
        <w:t>, the defendant has the right to appeal the</w:t>
      </w:r>
      <w:r w:rsidR="00EB189E" w:rsidRPr="0082617C">
        <w:t xml:space="preserve"> judgment </w:t>
      </w:r>
      <w:r w:rsidR="00932C26" w:rsidRPr="0082617C">
        <w:t xml:space="preserve">of conviction </w:t>
      </w:r>
      <w:r w:rsidR="003E0CCE" w:rsidRPr="0082617C">
        <w:t xml:space="preserve">based on </w:t>
      </w:r>
      <w:r w:rsidR="00D244A6" w:rsidRPr="0082617C">
        <w:t xml:space="preserve">any trial errors that were properly preserved by objection </w:t>
      </w:r>
      <w:r w:rsidR="00020841" w:rsidRPr="0082617C">
        <w:t xml:space="preserve">(and/or motion for trial order of dismissal) </w:t>
      </w:r>
      <w:r w:rsidR="003E0CCE" w:rsidRPr="0082617C">
        <w:t xml:space="preserve">and/or the lower court’s </w:t>
      </w:r>
      <w:r w:rsidR="00AB69A9" w:rsidRPr="0082617C">
        <w:t xml:space="preserve">arguably erroneous decision </w:t>
      </w:r>
      <w:r w:rsidR="007B076C" w:rsidRPr="0082617C">
        <w:t>to suppress the evidence that contributed to the verdict</w:t>
      </w:r>
      <w:r w:rsidR="00054E78" w:rsidRPr="0082617C">
        <w:t xml:space="preserve"> </w:t>
      </w:r>
      <w:r w:rsidR="00AB5088" w:rsidRPr="0082617C">
        <w:t>(</w:t>
      </w:r>
      <w:r w:rsidR="00311152" w:rsidRPr="0082617C">
        <w:t>CPL 450.10[1]).</w:t>
      </w:r>
    </w:p>
    <w:p w14:paraId="6228EB60" w14:textId="18F73DBC" w:rsidR="00E7696D" w:rsidRPr="0082617C" w:rsidRDefault="009D5899">
      <w:r w:rsidRPr="0082617C">
        <w:t xml:space="preserve">Even </w:t>
      </w:r>
      <w:r w:rsidR="00A2294E" w:rsidRPr="0082617C">
        <w:t>when the defendant has pled guilty, unless he/she has expressly waived his/her right to app</w:t>
      </w:r>
      <w:r w:rsidR="004570D9" w:rsidRPr="0082617C">
        <w:t xml:space="preserve">eal from a final order denying suppression </w:t>
      </w:r>
      <w:r w:rsidR="00935F7E" w:rsidRPr="0082617C">
        <w:t>(for example, in consideration of a plea to a lesser charge whic</w:t>
      </w:r>
      <w:r w:rsidR="00E241ED" w:rsidRPr="0082617C">
        <w:t xml:space="preserve">h is seldom offered </w:t>
      </w:r>
      <w:r w:rsidR="0002355B" w:rsidRPr="0082617C">
        <w:t>after a hearing)</w:t>
      </w:r>
      <w:r w:rsidR="00095927" w:rsidRPr="0082617C">
        <w:t xml:space="preserve">, a guilty plea will not foreclose </w:t>
      </w:r>
      <w:r w:rsidR="00BD6313" w:rsidRPr="0082617C">
        <w:t>an appeal of the order to the intermediate appellate court (</w:t>
      </w:r>
      <w:r w:rsidR="006A5B2E" w:rsidRPr="0082617C">
        <w:t>s</w:t>
      </w:r>
      <w:r w:rsidR="00BD6313" w:rsidRPr="0082617C">
        <w:t xml:space="preserve">ee </w:t>
      </w:r>
      <w:r w:rsidR="00BD6313" w:rsidRPr="0082617C">
        <w:rPr>
          <w:i/>
          <w:iCs/>
        </w:rPr>
        <w:t>People v Hol</w:t>
      </w:r>
      <w:r w:rsidR="002B3EFD" w:rsidRPr="0082617C">
        <w:rPr>
          <w:i/>
          <w:iCs/>
        </w:rPr>
        <w:t>z</w:t>
      </w:r>
      <w:r w:rsidR="002B3EFD" w:rsidRPr="0082617C">
        <w:t xml:space="preserve">, 35 NY3d </w:t>
      </w:r>
      <w:r w:rsidR="002108EE" w:rsidRPr="0082617C">
        <w:t>55</w:t>
      </w:r>
      <w:r w:rsidR="005F15F2" w:rsidRPr="0082617C">
        <w:t xml:space="preserve"> [2020]). </w:t>
      </w:r>
    </w:p>
    <w:p w14:paraId="366A383F" w14:textId="54D91E71" w:rsidR="006A0306" w:rsidRPr="0082617C" w:rsidRDefault="006A0306">
      <w:r w:rsidRPr="0082617C">
        <w:t>As stated in CPL 710</w:t>
      </w:r>
      <w:r w:rsidR="007859A1" w:rsidRPr="0082617C">
        <w:t>.</w:t>
      </w:r>
      <w:r w:rsidRPr="0082617C">
        <w:t>70(</w:t>
      </w:r>
      <w:r w:rsidR="00160360" w:rsidRPr="0082617C">
        <w:t xml:space="preserve">2), “an order finally </w:t>
      </w:r>
      <w:r w:rsidR="00CF547D" w:rsidRPr="0082617C">
        <w:t xml:space="preserve">denying a motion to suppress </w:t>
      </w:r>
      <w:r w:rsidR="005F3378" w:rsidRPr="0082617C">
        <w:t xml:space="preserve">evidence may be reviewed </w:t>
      </w:r>
      <w:r w:rsidR="0027263B" w:rsidRPr="0082617C">
        <w:t xml:space="preserve">upon an appeal from an ensuing judgment of conviction notwithstanding the fact </w:t>
      </w:r>
      <w:r w:rsidR="003E0269" w:rsidRPr="0082617C">
        <w:t>that such judgment is entered upon a plea of guilty.</w:t>
      </w:r>
    </w:p>
    <w:p w14:paraId="77E9C898" w14:textId="137EA845" w:rsidR="003E0269" w:rsidRPr="0082617C" w:rsidRDefault="008D1F5E">
      <w:r w:rsidRPr="0082617C">
        <w:t xml:space="preserve">In </w:t>
      </w:r>
      <w:r w:rsidRPr="0082617C">
        <w:rPr>
          <w:i/>
          <w:iCs/>
        </w:rPr>
        <w:t>Holz</w:t>
      </w:r>
      <w:r w:rsidRPr="0082617C">
        <w:t xml:space="preserve">, supra, the Court of Appeals </w:t>
      </w:r>
      <w:r w:rsidR="001D71C1" w:rsidRPr="0082617C">
        <w:t xml:space="preserve">held that the defendant’s right to appeal extended to </w:t>
      </w:r>
      <w:r w:rsidR="00593AE7" w:rsidRPr="0082617C">
        <w:t xml:space="preserve">his guilty plea to a crime (burglary) that was </w:t>
      </w:r>
      <w:r w:rsidR="007C10C6" w:rsidRPr="0082617C">
        <w:t xml:space="preserve">not directly related to </w:t>
      </w:r>
      <w:r w:rsidR="00A37FF7" w:rsidRPr="0082617C">
        <w:t>the evidence (</w:t>
      </w:r>
      <w:r w:rsidR="00A00002" w:rsidRPr="0082617C">
        <w:t xml:space="preserve">jewelry) </w:t>
      </w:r>
      <w:r w:rsidR="00C466DE" w:rsidRPr="0082617C">
        <w:t>underlying</w:t>
      </w:r>
      <w:r w:rsidR="00A00002" w:rsidRPr="0082617C">
        <w:t xml:space="preserve"> a </w:t>
      </w:r>
      <w:r w:rsidR="00463AD9" w:rsidRPr="0082617C">
        <w:t xml:space="preserve">separate burglary count in the same indictment that was dismissed in satisfaction </w:t>
      </w:r>
      <w:r w:rsidR="00F838E9" w:rsidRPr="0082617C">
        <w:t>of the plea.</w:t>
      </w:r>
    </w:p>
    <w:p w14:paraId="077A5478" w14:textId="46B5F625" w:rsidR="00F838E9" w:rsidRPr="0082617C" w:rsidRDefault="002847DF">
      <w:r w:rsidRPr="0082617C">
        <w:t xml:space="preserve">The </w:t>
      </w:r>
      <w:r w:rsidR="00567343" w:rsidRPr="0082617C">
        <w:t xml:space="preserve">police, acting on a tip, confronted the defendant near the </w:t>
      </w:r>
      <w:r w:rsidR="00F56C5C" w:rsidRPr="0082617C">
        <w:t xml:space="preserve">site of successive burglaries </w:t>
      </w:r>
      <w:r w:rsidR="001A1937" w:rsidRPr="0082617C">
        <w:t>(</w:t>
      </w:r>
      <w:r w:rsidR="00F56C5C" w:rsidRPr="0082617C">
        <w:t>two days apart</w:t>
      </w:r>
      <w:r w:rsidR="001A1937" w:rsidRPr="0082617C">
        <w:t xml:space="preserve">) </w:t>
      </w:r>
      <w:r w:rsidR="00B33587" w:rsidRPr="0082617C">
        <w:t>and directed</w:t>
      </w:r>
      <w:r w:rsidR="007B0661" w:rsidRPr="0082617C">
        <w:t xml:space="preserve"> </w:t>
      </w:r>
      <w:r w:rsidR="00BE5028" w:rsidRPr="0082617C">
        <w:t xml:space="preserve">him to </w:t>
      </w:r>
      <w:r w:rsidR="00B33587" w:rsidRPr="0082617C">
        <w:t xml:space="preserve">remove his hands from his pockets. </w:t>
      </w:r>
      <w:r w:rsidR="00BE5028" w:rsidRPr="0082617C">
        <w:t xml:space="preserve">When he did so, he revealed a bag of jewelry </w:t>
      </w:r>
      <w:r w:rsidR="00B75B52" w:rsidRPr="0082617C">
        <w:t xml:space="preserve">(taken in the </w:t>
      </w:r>
      <w:r w:rsidR="00704569" w:rsidRPr="0082617C">
        <w:t xml:space="preserve">second burglary) </w:t>
      </w:r>
      <w:r w:rsidR="00BE5028" w:rsidRPr="0082617C">
        <w:t xml:space="preserve">which he </w:t>
      </w:r>
      <w:r w:rsidR="00704569" w:rsidRPr="0082617C">
        <w:t xml:space="preserve">falsely </w:t>
      </w:r>
      <w:r w:rsidR="00BE5028" w:rsidRPr="0082617C">
        <w:t xml:space="preserve">claimed to have purchased at a nearby house sale. </w:t>
      </w:r>
      <w:r w:rsidR="00D7227C" w:rsidRPr="0082617C">
        <w:t>A check with the homeowner promptly refuted the defendant’s story.</w:t>
      </w:r>
    </w:p>
    <w:p w14:paraId="114BF250" w14:textId="28E903B6" w:rsidR="00D7227C" w:rsidRPr="0082617C" w:rsidRDefault="00D7227C">
      <w:r w:rsidRPr="0082617C">
        <w:lastRenderedPageBreak/>
        <w:t xml:space="preserve">The defendant was arrested and </w:t>
      </w:r>
      <w:r w:rsidR="00A3180E" w:rsidRPr="0082617C">
        <w:t xml:space="preserve">charged with </w:t>
      </w:r>
      <w:r w:rsidR="00EE718F" w:rsidRPr="0082617C">
        <w:t>burglary involving th</w:t>
      </w:r>
      <w:r w:rsidR="00A3180E" w:rsidRPr="0082617C">
        <w:t xml:space="preserve">e theft of the jewelry and a </w:t>
      </w:r>
      <w:r w:rsidR="0015320E" w:rsidRPr="0082617C">
        <w:t xml:space="preserve">separate </w:t>
      </w:r>
      <w:r w:rsidR="00A3180E" w:rsidRPr="0082617C">
        <w:t xml:space="preserve">count based on the theft of a laptop from the same house two days </w:t>
      </w:r>
      <w:r w:rsidR="0015320E" w:rsidRPr="0082617C">
        <w:t xml:space="preserve">earlier. </w:t>
      </w:r>
      <w:r w:rsidR="00E66F69" w:rsidRPr="0082617C">
        <w:t>His subsequent motion to suppress the jewelry was den</w:t>
      </w:r>
      <w:r w:rsidR="00193F8A" w:rsidRPr="0082617C">
        <w:t xml:space="preserve">ied as the court found reasonable suspicion to detain </w:t>
      </w:r>
      <w:r w:rsidR="00526E68" w:rsidRPr="0082617C">
        <w:t>the defendant and direct him to remove his hands from his pockets.</w:t>
      </w:r>
      <w:r w:rsidR="00221705" w:rsidRPr="0082617C">
        <w:t xml:space="preserve"> Thereafter, he </w:t>
      </w:r>
      <w:r w:rsidR="00F0730B" w:rsidRPr="0082617C">
        <w:t xml:space="preserve">pled </w:t>
      </w:r>
      <w:r w:rsidR="00221705" w:rsidRPr="0082617C">
        <w:t xml:space="preserve">guilty to the </w:t>
      </w:r>
      <w:r w:rsidR="00CF14FE" w:rsidRPr="0082617C">
        <w:t xml:space="preserve">count relating </w:t>
      </w:r>
      <w:r w:rsidR="00221705" w:rsidRPr="0082617C">
        <w:t xml:space="preserve">to the stolen laptop and the </w:t>
      </w:r>
      <w:r w:rsidR="00A037B1" w:rsidRPr="0082617C">
        <w:t xml:space="preserve">count involving the stolen </w:t>
      </w:r>
      <w:r w:rsidR="0041317D" w:rsidRPr="0082617C">
        <w:t xml:space="preserve">jewelry </w:t>
      </w:r>
      <w:r w:rsidR="00A037B1" w:rsidRPr="0082617C">
        <w:t xml:space="preserve">was dismissed in </w:t>
      </w:r>
      <w:r w:rsidR="0041317D" w:rsidRPr="0082617C">
        <w:t xml:space="preserve">satisfaction of the plea. </w:t>
      </w:r>
      <w:r w:rsidR="00CF14FE" w:rsidRPr="0082617C">
        <w:t>He was sentenced as a second felony offender to six years in prison and five years of post-release supervision.</w:t>
      </w:r>
    </w:p>
    <w:p w14:paraId="4CCBF1BE" w14:textId="2871B7CF" w:rsidR="00F0730B" w:rsidRPr="0082617C" w:rsidRDefault="00C519AB">
      <w:r w:rsidRPr="0082617C">
        <w:t xml:space="preserve"> </w:t>
      </w:r>
      <w:r w:rsidR="007B5E17" w:rsidRPr="0082617C">
        <w:t xml:space="preserve">The </w:t>
      </w:r>
      <w:r w:rsidR="000F0A74" w:rsidRPr="0082617C">
        <w:t xml:space="preserve">defendant </w:t>
      </w:r>
      <w:r w:rsidR="007B5E17" w:rsidRPr="0082617C">
        <w:t xml:space="preserve">appealed to the Fourth Department, arguing that </w:t>
      </w:r>
      <w:r w:rsidR="004E4A69" w:rsidRPr="0082617C">
        <w:t>the lower court erred in denying his motion to suppress. The co</w:t>
      </w:r>
      <w:r w:rsidR="00DA01E4" w:rsidRPr="0082617C">
        <w:t xml:space="preserve">urt affirmed his conviction, finding that the </w:t>
      </w:r>
      <w:r w:rsidR="00B07A3F" w:rsidRPr="0082617C">
        <w:t xml:space="preserve">judgment of conviction DID NOT ENSUE from the </w:t>
      </w:r>
      <w:r w:rsidR="008F591E" w:rsidRPr="0082617C">
        <w:t xml:space="preserve">denial of the motion because the </w:t>
      </w:r>
      <w:r w:rsidR="00DA31C2" w:rsidRPr="0082617C">
        <w:t xml:space="preserve">evidence that the defendant sought to suppress related to the jewelry </w:t>
      </w:r>
      <w:r w:rsidR="00276AE4" w:rsidRPr="0082617C">
        <w:t xml:space="preserve">which did not </w:t>
      </w:r>
      <w:r w:rsidR="00A25A6F" w:rsidRPr="0082617C">
        <w:t xml:space="preserve">underly the count to which he had pled guilty </w:t>
      </w:r>
      <w:r w:rsidR="0011074E" w:rsidRPr="0082617C">
        <w:t>(167 AD3d 1417 [4</w:t>
      </w:r>
      <w:r w:rsidR="0011074E" w:rsidRPr="0082617C">
        <w:rPr>
          <w:vertAlign w:val="superscript"/>
        </w:rPr>
        <w:t>th</w:t>
      </w:r>
      <w:r w:rsidR="0011074E" w:rsidRPr="0082617C">
        <w:t xml:space="preserve"> Dept 2018]). The court did not</w:t>
      </w:r>
      <w:r w:rsidR="008D579A" w:rsidRPr="0082617C">
        <w:t>, therefore, reach the merits of the suppression motion.</w:t>
      </w:r>
    </w:p>
    <w:p w14:paraId="0D91E21B" w14:textId="7FB034A2" w:rsidR="008D579A" w:rsidRPr="0082617C" w:rsidRDefault="008D579A">
      <w:r w:rsidRPr="0082617C">
        <w:t>The dissenting justice (Whalen, P.J.</w:t>
      </w:r>
      <w:r w:rsidR="0031365F" w:rsidRPr="0082617C">
        <w:t xml:space="preserve">), concluded that the determination whether </w:t>
      </w:r>
      <w:r w:rsidR="00235AA4" w:rsidRPr="0082617C">
        <w:t xml:space="preserve">a guilty plea </w:t>
      </w:r>
      <w:r w:rsidR="004216CD" w:rsidRPr="0082617C">
        <w:t xml:space="preserve">ensues from </w:t>
      </w:r>
      <w:r w:rsidR="00235AA4" w:rsidRPr="0082617C">
        <w:t xml:space="preserve">an order denying suppression depends on whether </w:t>
      </w:r>
      <w:r w:rsidR="00501E25" w:rsidRPr="0082617C">
        <w:t xml:space="preserve">there is a </w:t>
      </w:r>
      <w:r w:rsidR="00582A41" w:rsidRPr="0082617C">
        <w:t xml:space="preserve">REASONABLE </w:t>
      </w:r>
      <w:r w:rsidR="0063662C" w:rsidRPr="0082617C">
        <w:t xml:space="preserve">POSSIBILITY that </w:t>
      </w:r>
      <w:r w:rsidR="00501E25" w:rsidRPr="0082617C">
        <w:t xml:space="preserve">the alleged suppression error </w:t>
      </w:r>
      <w:r w:rsidR="0063662C" w:rsidRPr="0082617C">
        <w:t xml:space="preserve">CONTRIBUTED </w:t>
      </w:r>
      <w:r w:rsidR="001B4631" w:rsidRPr="0082617C">
        <w:t xml:space="preserve">TO the </w:t>
      </w:r>
      <w:r w:rsidR="00582A41" w:rsidRPr="0082617C">
        <w:t>plea</w:t>
      </w:r>
      <w:r w:rsidR="0021610B" w:rsidRPr="0082617C">
        <w:t>. Support for this position can be found in CPL 470.15(1), which authorizes intermediate appellate courts to consider issues of law or fact which “</w:t>
      </w:r>
      <w:r w:rsidR="0021610B" w:rsidRPr="0082617C">
        <w:rPr>
          <w:i/>
          <w:iCs/>
        </w:rPr>
        <w:t>may have</w:t>
      </w:r>
      <w:r w:rsidR="0021610B" w:rsidRPr="0082617C">
        <w:t xml:space="preserve"> adversely impacted the appellant” (emphasis added). </w:t>
      </w:r>
      <w:r w:rsidR="00582A41" w:rsidRPr="0082617C">
        <w:t xml:space="preserve"> </w:t>
      </w:r>
      <w:r w:rsidR="0063662C" w:rsidRPr="0082617C">
        <w:t>The dissenter also</w:t>
      </w:r>
      <w:r w:rsidR="00F14359" w:rsidRPr="0082617C">
        <w:t xml:space="preserve"> felt that the court should have addressed the merits of </w:t>
      </w:r>
      <w:r w:rsidR="001B4631" w:rsidRPr="0082617C">
        <w:t>order denying suppression.</w:t>
      </w:r>
    </w:p>
    <w:p w14:paraId="14A77570" w14:textId="25E02E21" w:rsidR="001B4631" w:rsidRPr="0082617C" w:rsidRDefault="001B4631">
      <w:r w:rsidRPr="0082617C">
        <w:t xml:space="preserve">The Court of Appeals agreed with the dissenting justice </w:t>
      </w:r>
      <w:r w:rsidR="002473F5" w:rsidRPr="0082617C">
        <w:t xml:space="preserve">and concluded that the majority had taken a myopic view of </w:t>
      </w:r>
      <w:r w:rsidR="00DE1E47" w:rsidRPr="0082617C">
        <w:t>the meaning of “ensuing judgment of conviction</w:t>
      </w:r>
      <w:r w:rsidR="00E06F3D" w:rsidRPr="0082617C">
        <w:t>.” Noting that the phrase is not defined in CPL 710.70</w:t>
      </w:r>
      <w:r w:rsidR="00385544" w:rsidRPr="0082617C">
        <w:t xml:space="preserve">, the Court looked to the Oxford Dictionary definition </w:t>
      </w:r>
      <w:r w:rsidR="00B108CD" w:rsidRPr="0082617C">
        <w:t xml:space="preserve">which states that </w:t>
      </w:r>
      <w:r w:rsidR="001749ED" w:rsidRPr="0082617C">
        <w:t xml:space="preserve">to ensue means to occur or arise subsequently </w:t>
      </w:r>
      <w:r w:rsidR="005B7CD3" w:rsidRPr="0082617C">
        <w:t>or to follow as a result (Oxford University Press 2022).</w:t>
      </w:r>
    </w:p>
    <w:p w14:paraId="76342261" w14:textId="7E9836A3" w:rsidR="00693A5F" w:rsidRPr="0082617C" w:rsidRDefault="00693A5F">
      <w:r w:rsidRPr="0082617C">
        <w:t xml:space="preserve">The Court read the statute and interpreted its </w:t>
      </w:r>
      <w:r w:rsidR="004C59E7" w:rsidRPr="0082617C">
        <w:t xml:space="preserve">history to conclude that the Legislature intended </w:t>
      </w:r>
      <w:r w:rsidR="00462E54" w:rsidRPr="0082617C">
        <w:t xml:space="preserve">the broadest of relational terms </w:t>
      </w:r>
      <w:r w:rsidR="00643EC2" w:rsidRPr="0082617C">
        <w:t xml:space="preserve">to convey the connection between the suppression order and the judgment of conviction. </w:t>
      </w:r>
    </w:p>
    <w:p w14:paraId="1391CD13" w14:textId="681E4BC7" w:rsidR="00B95DC2" w:rsidRPr="0082617C" w:rsidRDefault="00B95DC2">
      <w:r w:rsidRPr="0082617C">
        <w:t xml:space="preserve">Rejecting the People’s argument that </w:t>
      </w:r>
      <w:r w:rsidR="00C33C9F" w:rsidRPr="0082617C">
        <w:t>the judgment of conviction does not include counts</w:t>
      </w:r>
      <w:r w:rsidR="008E47C7" w:rsidRPr="0082617C">
        <w:t xml:space="preserve"> not </w:t>
      </w:r>
      <w:r w:rsidR="00A7748E" w:rsidRPr="0082617C">
        <w:t>pled to</w:t>
      </w:r>
      <w:r w:rsidR="008E47C7" w:rsidRPr="0082617C">
        <w:t xml:space="preserve"> but merely satisfied by </w:t>
      </w:r>
      <w:r w:rsidR="00FB3568" w:rsidRPr="0082617C">
        <w:t xml:space="preserve">a guilty plea (to a different count), </w:t>
      </w:r>
      <w:r w:rsidR="007F2E6E" w:rsidRPr="0082617C">
        <w:t xml:space="preserve">the Court </w:t>
      </w:r>
      <w:r w:rsidR="00976EA6" w:rsidRPr="0082617C">
        <w:t xml:space="preserve">concluded that </w:t>
      </w:r>
      <w:r w:rsidR="00C65213" w:rsidRPr="0082617C">
        <w:t>the statute</w:t>
      </w:r>
      <w:r w:rsidR="00412D95" w:rsidRPr="0082617C">
        <w:t xml:space="preserve"> </w:t>
      </w:r>
      <w:r w:rsidR="00D50F6C" w:rsidRPr="0082617C">
        <w:t xml:space="preserve">extends to counts that are satisfied </w:t>
      </w:r>
      <w:r w:rsidR="00FD775C" w:rsidRPr="0082617C">
        <w:t xml:space="preserve">as part of the defendant’s plea to another count in the same accusatory instrument. </w:t>
      </w:r>
    </w:p>
    <w:p w14:paraId="76D58AF6" w14:textId="22DDAE4F" w:rsidR="004B5D6E" w:rsidRPr="0082617C" w:rsidRDefault="004B5D6E">
      <w:r w:rsidRPr="0082617C">
        <w:t xml:space="preserve">The Court also deemed it bad policy </w:t>
      </w:r>
      <w:r w:rsidR="00A7748E" w:rsidRPr="0082617C">
        <w:t xml:space="preserve">to say that an intermediate court lacks the jurisdiction to </w:t>
      </w:r>
      <w:r w:rsidR="00870832" w:rsidRPr="0082617C">
        <w:t xml:space="preserve">review a trial court’s determination of suppression issues </w:t>
      </w:r>
      <w:r w:rsidR="000C4876" w:rsidRPr="0082617C">
        <w:t xml:space="preserve">when the evidence in question is not directly related </w:t>
      </w:r>
      <w:r w:rsidR="004523CB" w:rsidRPr="0082617C">
        <w:t xml:space="preserve">to count of conviction </w:t>
      </w:r>
      <w:r w:rsidR="00017DFB" w:rsidRPr="0082617C">
        <w:t xml:space="preserve">because </w:t>
      </w:r>
      <w:r w:rsidR="00320B71" w:rsidRPr="0082617C">
        <w:t xml:space="preserve">it would shield erroneous decisions from </w:t>
      </w:r>
      <w:r w:rsidR="00754004" w:rsidRPr="0082617C">
        <w:t xml:space="preserve">review and </w:t>
      </w:r>
      <w:r w:rsidR="00DF3C05" w:rsidRPr="0082617C">
        <w:t>give rise to</w:t>
      </w:r>
      <w:r w:rsidR="00754004" w:rsidRPr="0082617C">
        <w:t xml:space="preserve"> a plethora of </w:t>
      </w:r>
      <w:r w:rsidR="00923DB6" w:rsidRPr="0082617C">
        <w:t>unreviewable errors.</w:t>
      </w:r>
    </w:p>
    <w:p w14:paraId="7ECC1E7D" w14:textId="33AA6F92" w:rsidR="00923DB6" w:rsidRPr="0082617C" w:rsidRDefault="00923DB6">
      <w:r w:rsidRPr="0082617C">
        <w:t>Absent a</w:t>
      </w:r>
      <w:r w:rsidR="003954A8" w:rsidRPr="0082617C">
        <w:t xml:space="preserve">n on-the-record concession by the defendant that the suppression </w:t>
      </w:r>
      <w:r w:rsidR="006979D3" w:rsidRPr="0082617C">
        <w:t xml:space="preserve">order </w:t>
      </w:r>
      <w:r w:rsidR="003954A8" w:rsidRPr="0082617C">
        <w:t xml:space="preserve">played no part in his decision to plead </w:t>
      </w:r>
      <w:r w:rsidR="002E2A0D" w:rsidRPr="0082617C">
        <w:t xml:space="preserve">guilty, or </w:t>
      </w:r>
      <w:r w:rsidR="003954A8" w:rsidRPr="0082617C">
        <w:t>an express waiver of the right to appeal the decision</w:t>
      </w:r>
      <w:r w:rsidR="006979D3" w:rsidRPr="0082617C">
        <w:t xml:space="preserve">, the court determined that the </w:t>
      </w:r>
      <w:r w:rsidR="00D76B93" w:rsidRPr="0082617C">
        <w:t>matter should be resolved on the merits and remitted the case to the AD for such determination.</w:t>
      </w:r>
    </w:p>
    <w:p w14:paraId="54200603" w14:textId="307C2333" w:rsidR="00862B01" w:rsidRPr="0082617C" w:rsidRDefault="00862B01">
      <w:r w:rsidRPr="0082617C">
        <w:t>PEOPLE’S APPEAL</w:t>
      </w:r>
    </w:p>
    <w:p w14:paraId="50455032" w14:textId="77777777" w:rsidR="00E83C77" w:rsidRPr="0082617C" w:rsidRDefault="00FA0EF9">
      <w:r w:rsidRPr="0082617C">
        <w:lastRenderedPageBreak/>
        <w:t xml:space="preserve">In cases involving </w:t>
      </w:r>
      <w:r w:rsidR="00737309" w:rsidRPr="0082617C">
        <w:t xml:space="preserve">potentially suppressible evidence, prosecutors will (or at least should) </w:t>
      </w:r>
      <w:r w:rsidR="002D51F6" w:rsidRPr="0082617C">
        <w:t>not only</w:t>
      </w:r>
      <w:r w:rsidR="00E83C77" w:rsidRPr="0082617C">
        <w:t xml:space="preserve"> evaluate the </w:t>
      </w:r>
      <w:r w:rsidR="002D51F6" w:rsidRPr="0082617C">
        <w:t xml:space="preserve">quantum and quality of their </w:t>
      </w:r>
      <w:r w:rsidR="00594A85" w:rsidRPr="0082617C">
        <w:t xml:space="preserve">proof but also </w:t>
      </w:r>
      <w:r w:rsidR="005A5EF3" w:rsidRPr="0082617C">
        <w:t xml:space="preserve">consider </w:t>
      </w:r>
      <w:r w:rsidR="00594A85" w:rsidRPr="0082617C">
        <w:t xml:space="preserve">the possibility that the evidence </w:t>
      </w:r>
      <w:r w:rsidR="00797769" w:rsidRPr="0082617C">
        <w:t xml:space="preserve">was obtained in violation of the defendant’s constitutional rights. </w:t>
      </w:r>
    </w:p>
    <w:p w14:paraId="4C8CF6FD" w14:textId="68494FFF" w:rsidR="00862B01" w:rsidRPr="0082617C" w:rsidRDefault="005A5EF3">
      <w:r w:rsidRPr="0082617C">
        <w:t xml:space="preserve">If, for example, the police </w:t>
      </w:r>
      <w:r w:rsidR="00953DD0" w:rsidRPr="0082617C">
        <w:t>pat down a pedestrian with no</w:t>
      </w:r>
      <w:r w:rsidR="00DE5B71" w:rsidRPr="0082617C">
        <w:t xml:space="preserve"> demonstrable</w:t>
      </w:r>
      <w:r w:rsidR="00953DD0" w:rsidRPr="0082617C">
        <w:t xml:space="preserve"> reason to believe </w:t>
      </w:r>
      <w:r w:rsidR="0032409B" w:rsidRPr="0082617C">
        <w:t>he/she may be armed, pull a vehicle over for no discernable reason</w:t>
      </w:r>
      <w:r w:rsidR="00916289" w:rsidRPr="0082617C">
        <w:t>,</w:t>
      </w:r>
      <w:r w:rsidR="0032409B" w:rsidRPr="0082617C">
        <w:t xml:space="preserve"> or </w:t>
      </w:r>
      <w:r w:rsidR="00B868E6" w:rsidRPr="0082617C">
        <w:t>enter a suspect’s home without a warrant</w:t>
      </w:r>
      <w:r w:rsidR="00805895" w:rsidRPr="0082617C">
        <w:t xml:space="preserve">, exigency or consent, the prosecutor should think </w:t>
      </w:r>
      <w:r w:rsidR="003D6417" w:rsidRPr="0082617C">
        <w:t xml:space="preserve">twice about presenting the case to a grand jury. </w:t>
      </w:r>
      <w:r w:rsidR="00CD1584" w:rsidRPr="0082617C">
        <w:t xml:space="preserve">If an indictment is obtained, there </w:t>
      </w:r>
      <w:r w:rsidR="008918B2" w:rsidRPr="0082617C">
        <w:t xml:space="preserve">is </w:t>
      </w:r>
      <w:r w:rsidR="00B91826" w:rsidRPr="0082617C">
        <w:t>(</w:t>
      </w:r>
      <w:r w:rsidR="008918B2" w:rsidRPr="0082617C">
        <w:t>or should be) a strong likelihood that the evidence obtained (</w:t>
      </w:r>
      <w:r w:rsidR="00B34EDA" w:rsidRPr="0082617C">
        <w:t xml:space="preserve">e.g., </w:t>
      </w:r>
      <w:r w:rsidR="008918B2" w:rsidRPr="0082617C">
        <w:t>weapon, drugs, stolen property</w:t>
      </w:r>
      <w:r w:rsidR="00B34EDA" w:rsidRPr="0082617C">
        <w:t>, statements) will b</w:t>
      </w:r>
      <w:r w:rsidR="00EB7777" w:rsidRPr="0082617C">
        <w:t>e rendered</w:t>
      </w:r>
      <w:r w:rsidR="008A726A" w:rsidRPr="0082617C">
        <w:t xml:space="preserve"> unavailable to the prosecution at trial.</w:t>
      </w:r>
    </w:p>
    <w:p w14:paraId="5718D55D" w14:textId="71854B5F" w:rsidR="008A726A" w:rsidRPr="0082617C" w:rsidRDefault="00893D95">
      <w:bookmarkStart w:id="0" w:name="_Hlk152062154"/>
      <w:r w:rsidRPr="0082617C">
        <w:t>If a prosecutor makes an unusually generous plea offer</w:t>
      </w:r>
      <w:r w:rsidR="0024327D" w:rsidRPr="0082617C">
        <w:t xml:space="preserve"> (even to a defendant with a lengthy criminal history) it is often because </w:t>
      </w:r>
      <w:r w:rsidR="0032685D" w:rsidRPr="0082617C">
        <w:t xml:space="preserve">he/she has concluded that if a suppression hearing </w:t>
      </w:r>
      <w:r w:rsidR="00B91826" w:rsidRPr="0082617C">
        <w:t xml:space="preserve">were </w:t>
      </w:r>
      <w:r w:rsidR="0032685D" w:rsidRPr="0082617C">
        <w:t>held, the</w:t>
      </w:r>
      <w:r w:rsidR="00AA01ED" w:rsidRPr="0082617C">
        <w:t xml:space="preserve">ir case </w:t>
      </w:r>
      <w:r w:rsidR="00D90067" w:rsidRPr="0082617C">
        <w:t xml:space="preserve">would be </w:t>
      </w:r>
      <w:r w:rsidR="00AA01ED" w:rsidRPr="0082617C">
        <w:t xml:space="preserve">severely weakened if not </w:t>
      </w:r>
      <w:r w:rsidR="005B5EE4" w:rsidRPr="0082617C">
        <w:t xml:space="preserve">altogether </w:t>
      </w:r>
      <w:r w:rsidR="00875DCB" w:rsidRPr="0082617C">
        <w:t>undone</w:t>
      </w:r>
      <w:r w:rsidR="005B5EE4" w:rsidRPr="0082617C">
        <w:t xml:space="preserve">. </w:t>
      </w:r>
      <w:r w:rsidR="00B577E0" w:rsidRPr="0082617C">
        <w:t>Nevertheless</w:t>
      </w:r>
      <w:r w:rsidR="00DA0B21" w:rsidRPr="0082617C">
        <w:t xml:space="preserve">, </w:t>
      </w:r>
      <w:r w:rsidR="00BF4F5A" w:rsidRPr="0082617C">
        <w:t xml:space="preserve">they sometimes </w:t>
      </w:r>
      <w:r w:rsidR="00543831" w:rsidRPr="0082617C">
        <w:t>forge ahea</w:t>
      </w:r>
      <w:r w:rsidR="006662D8" w:rsidRPr="0082617C">
        <w:t>d like</w:t>
      </w:r>
      <w:r w:rsidR="00AA58B3" w:rsidRPr="0082617C">
        <w:t xml:space="preserve"> the British cavalry </w:t>
      </w:r>
      <w:r w:rsidR="0055588B" w:rsidRPr="0082617C">
        <w:t>into the Battle of Balac</w:t>
      </w:r>
      <w:r w:rsidR="00A2540C" w:rsidRPr="0082617C">
        <w:t>lava (</w:t>
      </w:r>
      <w:r w:rsidR="00EB3E00" w:rsidRPr="0082617C">
        <w:t>see</w:t>
      </w:r>
      <w:r w:rsidR="00A2540C" w:rsidRPr="0082617C">
        <w:t xml:space="preserve"> Tennyson’s Charge of the Light Brigade) </w:t>
      </w:r>
      <w:r w:rsidR="007E0B5D" w:rsidRPr="0082617C">
        <w:t xml:space="preserve">only to </w:t>
      </w:r>
      <w:r w:rsidR="00BD6CEC" w:rsidRPr="0082617C">
        <w:t xml:space="preserve">suffer </w:t>
      </w:r>
      <w:r w:rsidR="004C7256" w:rsidRPr="0082617C">
        <w:t>serious losses that could have been avoided</w:t>
      </w:r>
      <w:r w:rsidR="006E7C57" w:rsidRPr="0082617C">
        <w:t>.</w:t>
      </w:r>
    </w:p>
    <w:bookmarkEnd w:id="0"/>
    <w:p w14:paraId="7CD0FAAC" w14:textId="1DC74333" w:rsidR="006E7C57" w:rsidRPr="0082617C" w:rsidRDefault="00224BF4">
      <w:r w:rsidRPr="0082617C">
        <w:t>In the event of an adverse ruling</w:t>
      </w:r>
      <w:r w:rsidR="006E7C57" w:rsidRPr="0082617C">
        <w:t>, they must go back to their drawing board and decide whether th</w:t>
      </w:r>
      <w:r w:rsidR="00192707" w:rsidRPr="0082617C">
        <w:t>ey</w:t>
      </w:r>
      <w:r w:rsidR="006E7C57" w:rsidRPr="0082617C">
        <w:t xml:space="preserve"> c</w:t>
      </w:r>
      <w:r w:rsidRPr="0082617C">
        <w:t xml:space="preserve">an </w:t>
      </w:r>
      <w:r w:rsidR="002B6C4F" w:rsidRPr="0082617C">
        <w:t xml:space="preserve">still proceed to trial without the evidence that has been suppressed. </w:t>
      </w:r>
      <w:r w:rsidR="002512F8" w:rsidRPr="0082617C">
        <w:t>If the answer is no, they must</w:t>
      </w:r>
      <w:r w:rsidR="00725610" w:rsidRPr="0082617C">
        <w:t xml:space="preserve"> (or should)</w:t>
      </w:r>
      <w:r w:rsidR="002512F8" w:rsidRPr="0082617C">
        <w:t xml:space="preserve"> then </w:t>
      </w:r>
      <w:r w:rsidR="00721719" w:rsidRPr="0082617C">
        <w:t>evaluate</w:t>
      </w:r>
      <w:r w:rsidR="006C706D" w:rsidRPr="0082617C">
        <w:t xml:space="preserve"> whether the hearing court</w:t>
      </w:r>
      <w:r w:rsidR="00725249" w:rsidRPr="0082617C">
        <w:t xml:space="preserve">’s order of suppression </w:t>
      </w:r>
      <w:r w:rsidR="003C65BB" w:rsidRPr="0082617C">
        <w:t xml:space="preserve">is likely to be affirmed on appeal. </w:t>
      </w:r>
      <w:r w:rsidR="00E41B00" w:rsidRPr="0082617C">
        <w:t xml:space="preserve">If the answer is yes, they will likely cut their losses and move to dismiss the indictment (or </w:t>
      </w:r>
      <w:r w:rsidR="00CA4B1A" w:rsidRPr="0082617C">
        <w:t xml:space="preserve">those counts encompassed by the order of suppression). </w:t>
      </w:r>
    </w:p>
    <w:p w14:paraId="198D6ACE" w14:textId="77777777" w:rsidR="00AF43C2" w:rsidRPr="0082617C" w:rsidRDefault="00FC29CD">
      <w:r w:rsidRPr="0082617C">
        <w:t xml:space="preserve">CPL 450.20 and </w:t>
      </w:r>
      <w:r w:rsidR="00AF43C2" w:rsidRPr="0082617C">
        <w:t>450.50</w:t>
      </w:r>
    </w:p>
    <w:p w14:paraId="3041ABF1" w14:textId="1E01F551" w:rsidR="00E1167F" w:rsidRPr="0082617C" w:rsidRDefault="00AF43C2">
      <w:r w:rsidRPr="0082617C">
        <w:t xml:space="preserve">If </w:t>
      </w:r>
      <w:r w:rsidR="00544D00" w:rsidRPr="0082617C">
        <w:t xml:space="preserve">the People </w:t>
      </w:r>
      <w:r w:rsidR="00C52CAA" w:rsidRPr="0082617C">
        <w:t>believe they have a reasonable chance of</w:t>
      </w:r>
      <w:r w:rsidR="0093148F" w:rsidRPr="0082617C">
        <w:t xml:space="preserve"> getting the order of suppression reversed, </w:t>
      </w:r>
      <w:r w:rsidR="00BD6B15" w:rsidRPr="0082617C">
        <w:t xml:space="preserve">they can take an appeal to </w:t>
      </w:r>
      <w:r w:rsidR="00052B96" w:rsidRPr="0082617C">
        <w:t xml:space="preserve">the appropriate intermediate appellate court (CPL </w:t>
      </w:r>
      <w:r w:rsidR="002A41B3" w:rsidRPr="0082617C">
        <w:t xml:space="preserve">450.20[8]) provided </w:t>
      </w:r>
      <w:r w:rsidR="00C446BB" w:rsidRPr="0082617C">
        <w:t xml:space="preserve">they also file a statement </w:t>
      </w:r>
      <w:r w:rsidR="00924FE5" w:rsidRPr="0082617C">
        <w:t>certifying that</w:t>
      </w:r>
      <w:r w:rsidR="00407CA7" w:rsidRPr="0082617C">
        <w:t xml:space="preserve">, </w:t>
      </w:r>
      <w:r w:rsidR="00927988" w:rsidRPr="0082617C">
        <w:t xml:space="preserve">because of </w:t>
      </w:r>
      <w:r w:rsidR="00407CA7" w:rsidRPr="0082617C">
        <w:t xml:space="preserve">the </w:t>
      </w:r>
      <w:r w:rsidR="00126E50" w:rsidRPr="0082617C">
        <w:t xml:space="preserve">suppression order, </w:t>
      </w:r>
      <w:r w:rsidR="00324603" w:rsidRPr="0082617C">
        <w:t xml:space="preserve">the remainder of their proof </w:t>
      </w:r>
      <w:r w:rsidR="00264C22" w:rsidRPr="0082617C">
        <w:t xml:space="preserve">is a. INSUFFICIENT AS A MATTER OF LAW </w:t>
      </w:r>
      <w:r w:rsidR="00D3177C" w:rsidRPr="0082617C">
        <w:t>or</w:t>
      </w:r>
      <w:r w:rsidR="00264C22" w:rsidRPr="0082617C">
        <w:t xml:space="preserve"> b.</w:t>
      </w:r>
      <w:r w:rsidR="00927988" w:rsidRPr="0082617C">
        <w:t xml:space="preserve"> so weak overall </w:t>
      </w:r>
      <w:r w:rsidR="00B84A08" w:rsidRPr="0082617C">
        <w:t xml:space="preserve">that any reasonable chance of obtaining a conviction has been </w:t>
      </w:r>
      <w:r w:rsidR="00410DBE" w:rsidRPr="0082617C">
        <w:t>effectively destroyed</w:t>
      </w:r>
      <w:r w:rsidR="005E48C4" w:rsidRPr="0082617C">
        <w:t xml:space="preserve"> (CPL 450.50 [2]).</w:t>
      </w:r>
    </w:p>
    <w:p w14:paraId="6A253904" w14:textId="3B41B0AA" w:rsidR="00410DBE" w:rsidRPr="0082617C" w:rsidRDefault="00B83388">
      <w:r w:rsidRPr="0082617C">
        <w:t xml:space="preserve"> </w:t>
      </w:r>
      <w:r w:rsidR="0030702C" w:rsidRPr="0082617C">
        <w:t xml:space="preserve">In </w:t>
      </w:r>
      <w:r w:rsidR="0030702C" w:rsidRPr="0082617C">
        <w:rPr>
          <w:i/>
          <w:iCs/>
        </w:rPr>
        <w:t xml:space="preserve">People v </w:t>
      </w:r>
      <w:proofErr w:type="spellStart"/>
      <w:r w:rsidR="0030702C" w:rsidRPr="0082617C">
        <w:rPr>
          <w:i/>
          <w:iCs/>
        </w:rPr>
        <w:t>Kates</w:t>
      </w:r>
      <w:proofErr w:type="spellEnd"/>
      <w:r w:rsidR="005122BA" w:rsidRPr="0082617C">
        <w:t xml:space="preserve"> (</w:t>
      </w:r>
      <w:r w:rsidR="0030702C" w:rsidRPr="0082617C">
        <w:t xml:space="preserve">53 NY2d 591 </w:t>
      </w:r>
      <w:r w:rsidR="005122BA" w:rsidRPr="0082617C">
        <w:t>[</w:t>
      </w:r>
      <w:r w:rsidR="0030702C" w:rsidRPr="0082617C">
        <w:t>1981</w:t>
      </w:r>
      <w:r w:rsidR="005122BA" w:rsidRPr="0082617C">
        <w:t>]</w:t>
      </w:r>
      <w:r w:rsidR="0030702C" w:rsidRPr="0082617C">
        <w:t xml:space="preserve">), the People appealed from </w:t>
      </w:r>
      <w:r w:rsidR="00650D9A" w:rsidRPr="0082617C">
        <w:t xml:space="preserve">the trial court’s order suppressing the defendant’s blood test results on the </w:t>
      </w:r>
      <w:r w:rsidR="001D3567" w:rsidRPr="0082617C">
        <w:t>grounds that th</w:t>
      </w:r>
      <w:r w:rsidR="00194FF6" w:rsidRPr="0082617C">
        <w:t>ey</w:t>
      </w:r>
      <w:r w:rsidR="001D3567" w:rsidRPr="0082617C">
        <w:t xml:space="preserve"> were obtained in violation of VTL </w:t>
      </w:r>
      <w:r w:rsidR="00071E5B" w:rsidRPr="0082617C">
        <w:t>1192(4)</w:t>
      </w:r>
      <w:r w:rsidR="00545A28" w:rsidRPr="0082617C">
        <w:t xml:space="preserve"> and the Equal Protection Clause. </w:t>
      </w:r>
      <w:r w:rsidR="00071E5B" w:rsidRPr="0082617C">
        <w:t xml:space="preserve">The </w:t>
      </w:r>
      <w:r w:rsidR="00CE721F" w:rsidRPr="0082617C">
        <w:t xml:space="preserve">Fourth Department </w:t>
      </w:r>
      <w:r w:rsidR="00CC01D0" w:rsidRPr="0082617C">
        <w:t xml:space="preserve">reversed, finding that there was no statutory or constitutional </w:t>
      </w:r>
      <w:r w:rsidR="003375C5" w:rsidRPr="0082617C">
        <w:t>bar</w:t>
      </w:r>
      <w:r w:rsidR="00CC01D0" w:rsidRPr="0082617C">
        <w:t xml:space="preserve"> to admissibility </w:t>
      </w:r>
      <w:r w:rsidR="003375C5" w:rsidRPr="0082617C">
        <w:t>of the test results.</w:t>
      </w:r>
    </w:p>
    <w:p w14:paraId="11B6ED4F" w14:textId="438C30A8" w:rsidR="00FE67C7" w:rsidRPr="0082617C" w:rsidRDefault="00FE67C7">
      <w:r w:rsidRPr="0082617C">
        <w:t>The defendant argued that th</w:t>
      </w:r>
      <w:r w:rsidR="008E03BA" w:rsidRPr="0082617C">
        <w:t xml:space="preserve">ere was no basis for the People to appeal since they had other proof </w:t>
      </w:r>
      <w:r w:rsidR="005A39EE" w:rsidRPr="0082617C">
        <w:t xml:space="preserve">of intoxication. The AD rejected </w:t>
      </w:r>
      <w:r w:rsidR="00D756ED" w:rsidRPr="0082617C">
        <w:t>this argument based on the People’s certification that the BAC evidence was essential to their case</w:t>
      </w:r>
      <w:r w:rsidR="00FC63C2" w:rsidRPr="0082617C">
        <w:t>.</w:t>
      </w:r>
    </w:p>
    <w:p w14:paraId="7328146B" w14:textId="60268C3D" w:rsidR="00FC63C2" w:rsidRPr="0082617C" w:rsidRDefault="00FC63C2">
      <w:r w:rsidRPr="0082617C">
        <w:t xml:space="preserve">The Court of Appeals agreed </w:t>
      </w:r>
      <w:r w:rsidR="005035A0" w:rsidRPr="0082617C">
        <w:t xml:space="preserve">with the AD </w:t>
      </w:r>
      <w:r w:rsidRPr="0082617C">
        <w:t>an</w:t>
      </w:r>
      <w:r w:rsidR="005035A0" w:rsidRPr="0082617C">
        <w:t>d upheld its determination reversing the lower court’s suppression order.</w:t>
      </w:r>
    </w:p>
    <w:p w14:paraId="05F68FE1" w14:textId="28C0CA2B" w:rsidR="009271BB" w:rsidRPr="0082617C" w:rsidRDefault="00C22972">
      <w:r w:rsidRPr="0082617C">
        <w:t xml:space="preserve">Regarding </w:t>
      </w:r>
      <w:r w:rsidR="009271BB" w:rsidRPr="0082617C">
        <w:t xml:space="preserve">the defendant’s challenge to the </w:t>
      </w:r>
      <w:r w:rsidR="002611BE" w:rsidRPr="0082617C">
        <w:t xml:space="preserve">People’s CPL 450.50 certification, the Court noted that the statute requires the prosecutor </w:t>
      </w:r>
      <w:r w:rsidR="005D32AE" w:rsidRPr="0082617C">
        <w:t xml:space="preserve">(who is in the best </w:t>
      </w:r>
      <w:r w:rsidR="00D5727E" w:rsidRPr="0082617C">
        <w:t>position to assess</w:t>
      </w:r>
      <w:r w:rsidR="00213C7E" w:rsidRPr="0082617C">
        <w:t xml:space="preserve"> the strengths and weaknesses of </w:t>
      </w:r>
      <w:r w:rsidR="00D5727E" w:rsidRPr="0082617C">
        <w:t xml:space="preserve">his/her own case) </w:t>
      </w:r>
      <w:r w:rsidR="002611BE" w:rsidRPr="0082617C">
        <w:t xml:space="preserve">to make a personal evaluation </w:t>
      </w:r>
      <w:r w:rsidR="005D32AE" w:rsidRPr="0082617C">
        <w:t xml:space="preserve">of the quality of </w:t>
      </w:r>
      <w:r w:rsidR="00D5727E" w:rsidRPr="0082617C">
        <w:t xml:space="preserve">the </w:t>
      </w:r>
      <w:r w:rsidR="005D32AE" w:rsidRPr="0082617C">
        <w:t xml:space="preserve">remaining proof </w:t>
      </w:r>
      <w:r w:rsidR="00636D15" w:rsidRPr="0082617C">
        <w:t xml:space="preserve">which need not be </w:t>
      </w:r>
      <w:r w:rsidR="00644688" w:rsidRPr="0082617C">
        <w:t xml:space="preserve">exposed to </w:t>
      </w:r>
      <w:r w:rsidR="00471E9A" w:rsidRPr="0082617C">
        <w:t xml:space="preserve">nor </w:t>
      </w:r>
      <w:r w:rsidR="00644688" w:rsidRPr="0082617C">
        <w:t xml:space="preserve">challenged </w:t>
      </w:r>
      <w:r w:rsidR="00471E9A" w:rsidRPr="0082617C">
        <w:t xml:space="preserve">by the defense. </w:t>
      </w:r>
      <w:r w:rsidR="00561214" w:rsidRPr="0082617C">
        <w:t>However, once the People take an appeal</w:t>
      </w:r>
      <w:r w:rsidR="00090FBE" w:rsidRPr="0082617C">
        <w:t xml:space="preserve"> and file the requisite certificate, they cannot then change their position </w:t>
      </w:r>
      <w:r w:rsidRPr="0082617C">
        <w:t xml:space="preserve">and try the defendant on the remaining evidence if </w:t>
      </w:r>
      <w:r w:rsidR="00A2083C" w:rsidRPr="0082617C">
        <w:t xml:space="preserve">the suppression order is affirmed. </w:t>
      </w:r>
      <w:r w:rsidR="00256334" w:rsidRPr="0082617C">
        <w:t>Only if the order is reversed and the evidence</w:t>
      </w:r>
      <w:r w:rsidR="00213B5E" w:rsidRPr="0082617C">
        <w:t xml:space="preserve"> is</w:t>
      </w:r>
      <w:r w:rsidR="00256334" w:rsidRPr="0082617C">
        <w:t xml:space="preserve"> restored </w:t>
      </w:r>
      <w:r w:rsidR="00256334" w:rsidRPr="0082617C">
        <w:lastRenderedPageBreak/>
        <w:t>to them, may the People proceed to trial.</w:t>
      </w:r>
      <w:r w:rsidR="005122BA" w:rsidRPr="0082617C">
        <w:t xml:space="preserve"> This makes the decision to </w:t>
      </w:r>
      <w:proofErr w:type="gramStart"/>
      <w:r w:rsidR="005122BA" w:rsidRPr="0082617C">
        <w:t>take</w:t>
      </w:r>
      <w:proofErr w:type="gramEnd"/>
      <w:r w:rsidR="005122BA" w:rsidRPr="0082617C">
        <w:t xml:space="preserve"> a People’s appeal, and file the accompanying 450.50 statement, </w:t>
      </w:r>
      <w:r w:rsidR="00EE5D34" w:rsidRPr="0082617C">
        <w:t xml:space="preserve">something of a Rubicon for the People. </w:t>
      </w:r>
    </w:p>
    <w:p w14:paraId="7ED2CE9D" w14:textId="18B906E6" w:rsidR="001E38E8" w:rsidRPr="0082617C" w:rsidRDefault="00966793">
      <w:r w:rsidRPr="0082617C">
        <w:t xml:space="preserve">However, in </w:t>
      </w:r>
      <w:r w:rsidRPr="0082617C">
        <w:rPr>
          <w:i/>
          <w:iCs/>
        </w:rPr>
        <w:t>People v McIntosh</w:t>
      </w:r>
      <w:r w:rsidRPr="0082617C">
        <w:t xml:space="preserve"> </w:t>
      </w:r>
      <w:r w:rsidR="005122BA" w:rsidRPr="0082617C">
        <w:t>(</w:t>
      </w:r>
      <w:r w:rsidRPr="0082617C">
        <w:t xml:space="preserve">173 AD2d 490 </w:t>
      </w:r>
      <w:r w:rsidR="005122BA" w:rsidRPr="0082617C">
        <w:t>[</w:t>
      </w:r>
      <w:r w:rsidRPr="0082617C">
        <w:t>2</w:t>
      </w:r>
      <w:r w:rsidR="005122BA" w:rsidRPr="0082617C">
        <w:rPr>
          <w:vertAlign w:val="superscript"/>
        </w:rPr>
        <w:t>nd</w:t>
      </w:r>
      <w:r w:rsidRPr="0082617C">
        <w:t xml:space="preserve"> Dept </w:t>
      </w:r>
      <w:r w:rsidR="004D41FF" w:rsidRPr="0082617C">
        <w:t>1991</w:t>
      </w:r>
      <w:r w:rsidR="005122BA" w:rsidRPr="0082617C">
        <w:t>]</w:t>
      </w:r>
      <w:r w:rsidR="004D41FF" w:rsidRPr="0082617C">
        <w:t>), the Second Department held that where the People obtain the appellate court’s permission to WITHDRAW their appeal (based upon a re</w:t>
      </w:r>
      <w:r w:rsidR="003F100F" w:rsidRPr="0082617C">
        <w:t>-evaluation of their case post suppression)</w:t>
      </w:r>
      <w:r w:rsidR="003E4ECD" w:rsidRPr="0082617C">
        <w:t xml:space="preserve">, they </w:t>
      </w:r>
      <w:r w:rsidR="00E23E72" w:rsidRPr="0082617C">
        <w:t xml:space="preserve">can proceed to trial on whatever proof </w:t>
      </w:r>
      <w:r w:rsidR="00D9684C" w:rsidRPr="0082617C">
        <w:t>they have remaining.</w:t>
      </w:r>
    </w:p>
    <w:p w14:paraId="3498D521" w14:textId="2398F6A1" w:rsidR="002279A7" w:rsidRPr="0082617C" w:rsidRDefault="00D9684C">
      <w:r w:rsidRPr="0082617C">
        <w:t xml:space="preserve">In that case, </w:t>
      </w:r>
      <w:r w:rsidR="00FA472C" w:rsidRPr="0082617C">
        <w:t xml:space="preserve">County Court suppressed </w:t>
      </w:r>
      <w:r w:rsidR="00C05B1A" w:rsidRPr="0082617C">
        <w:t>physical evidence, statements of the defendant</w:t>
      </w:r>
      <w:r w:rsidR="00EE5D34" w:rsidRPr="0082617C">
        <w:t>,</w:t>
      </w:r>
      <w:r w:rsidR="00C05B1A" w:rsidRPr="0082617C">
        <w:t xml:space="preserve"> and </w:t>
      </w:r>
      <w:r w:rsidR="00235304" w:rsidRPr="0082617C">
        <w:t xml:space="preserve">identification testimony, thus prompting the People to file a notice of appeal and </w:t>
      </w:r>
      <w:r w:rsidR="00473AEF" w:rsidRPr="0082617C">
        <w:t xml:space="preserve">CPL 450.50 statement </w:t>
      </w:r>
      <w:r w:rsidR="00013144" w:rsidRPr="0082617C">
        <w:t xml:space="preserve">outlining the futility of proceeding without the evidence </w:t>
      </w:r>
      <w:r w:rsidR="00007846" w:rsidRPr="0082617C">
        <w:t xml:space="preserve">that had been dispatched. </w:t>
      </w:r>
    </w:p>
    <w:p w14:paraId="3CF3B5DA" w14:textId="1B6BCC0E" w:rsidR="00D9684C" w:rsidRPr="0082617C" w:rsidRDefault="002279A7">
      <w:r w:rsidRPr="0082617C">
        <w:t xml:space="preserve">Several weeks later, </w:t>
      </w:r>
      <w:r w:rsidR="000D2D72" w:rsidRPr="0082617C">
        <w:t xml:space="preserve">the People sought leave to </w:t>
      </w:r>
      <w:r w:rsidR="00EF4BBC" w:rsidRPr="0082617C">
        <w:t xml:space="preserve">withdraw their appeal which the </w:t>
      </w:r>
      <w:r w:rsidR="00EB6306" w:rsidRPr="0082617C">
        <w:t xml:space="preserve">Second Department granted. </w:t>
      </w:r>
      <w:r w:rsidR="00625B25" w:rsidRPr="0082617C">
        <w:t xml:space="preserve">The defendant then moved to </w:t>
      </w:r>
      <w:r w:rsidR="007162F8" w:rsidRPr="0082617C">
        <w:t>dismiss the indictment, arguing that CPL 450.50</w:t>
      </w:r>
      <w:r w:rsidR="009F7966" w:rsidRPr="0082617C">
        <w:t>(2) precluded further proceeding</w:t>
      </w:r>
      <w:r w:rsidR="00320266" w:rsidRPr="0082617C">
        <w:t xml:space="preserve">s upon it without an appellate court reversal of the order of suppression </w:t>
      </w:r>
      <w:r w:rsidR="0065580F" w:rsidRPr="0082617C">
        <w:t>(</w:t>
      </w:r>
      <w:r w:rsidR="00EE5D34" w:rsidRPr="0082617C">
        <w:t>c</w:t>
      </w:r>
      <w:r w:rsidR="0065580F" w:rsidRPr="0082617C">
        <w:t xml:space="preserve">iting </w:t>
      </w:r>
      <w:r w:rsidR="0065580F" w:rsidRPr="0082617C">
        <w:rPr>
          <w:i/>
          <w:iCs/>
        </w:rPr>
        <w:t>Matter of Forte v Sup</w:t>
      </w:r>
      <w:r w:rsidR="00EE5D34" w:rsidRPr="0082617C">
        <w:rPr>
          <w:i/>
          <w:iCs/>
        </w:rPr>
        <w:t>reme</w:t>
      </w:r>
      <w:r w:rsidR="005E5A28" w:rsidRPr="0082617C">
        <w:rPr>
          <w:i/>
          <w:iCs/>
        </w:rPr>
        <w:t xml:space="preserve"> Ct.</w:t>
      </w:r>
      <w:r w:rsidR="00CE5871" w:rsidRPr="0082617C">
        <w:rPr>
          <w:i/>
          <w:iCs/>
        </w:rPr>
        <w:t xml:space="preserve"> of</w:t>
      </w:r>
      <w:r w:rsidR="00EE5D34" w:rsidRPr="0082617C">
        <w:rPr>
          <w:i/>
          <w:iCs/>
        </w:rPr>
        <w:t xml:space="preserve"> State of</w:t>
      </w:r>
      <w:r w:rsidR="00CE5871" w:rsidRPr="0082617C">
        <w:rPr>
          <w:i/>
          <w:iCs/>
        </w:rPr>
        <w:t xml:space="preserve"> N</w:t>
      </w:r>
      <w:r w:rsidR="00EE5D34" w:rsidRPr="0082617C">
        <w:rPr>
          <w:i/>
          <w:iCs/>
        </w:rPr>
        <w:t>.</w:t>
      </w:r>
      <w:r w:rsidR="00CE5871" w:rsidRPr="0082617C">
        <w:rPr>
          <w:i/>
          <w:iCs/>
        </w:rPr>
        <w:t>Y</w:t>
      </w:r>
      <w:r w:rsidR="00EE5D34" w:rsidRPr="0082617C">
        <w:rPr>
          <w:i/>
          <w:iCs/>
        </w:rPr>
        <w:t>.</w:t>
      </w:r>
      <w:r w:rsidR="0065580F" w:rsidRPr="0082617C">
        <w:t xml:space="preserve">, </w:t>
      </w:r>
      <w:r w:rsidR="002A3A43" w:rsidRPr="0082617C">
        <w:t xml:space="preserve">48 NY2d 179 </w:t>
      </w:r>
      <w:r w:rsidR="005E5A28" w:rsidRPr="0082617C">
        <w:t>[1979]).</w:t>
      </w:r>
    </w:p>
    <w:p w14:paraId="6BE02914" w14:textId="5F444193" w:rsidR="009E4698" w:rsidRPr="0082617C" w:rsidRDefault="009E4698">
      <w:r w:rsidRPr="0082617C">
        <w:t xml:space="preserve">The People appealed (CPL 450.20[1]) </w:t>
      </w:r>
      <w:r w:rsidR="00C20CEC" w:rsidRPr="0082617C">
        <w:t xml:space="preserve">and the Second Department reversed the </w:t>
      </w:r>
      <w:r w:rsidR="00E00256" w:rsidRPr="0082617C">
        <w:t xml:space="preserve">lower court’s order of dismissal. The court noted that while </w:t>
      </w:r>
      <w:r w:rsidR="00920BD2" w:rsidRPr="0082617C">
        <w:t xml:space="preserve">CPL 450.50(2) (which is designed to limit </w:t>
      </w:r>
      <w:r w:rsidR="004C1732" w:rsidRPr="0082617C">
        <w:t xml:space="preserve">prosecution appeals </w:t>
      </w:r>
      <w:r w:rsidR="00A2358C" w:rsidRPr="0082617C">
        <w:t xml:space="preserve">of interlocutory orders </w:t>
      </w:r>
      <w:r w:rsidR="0022264E" w:rsidRPr="0082617C">
        <w:t xml:space="preserve">to those which effectively </w:t>
      </w:r>
      <w:r w:rsidR="00107396" w:rsidRPr="0082617C">
        <w:t xml:space="preserve">dispose of their case), </w:t>
      </w:r>
      <w:r w:rsidR="001C0F6F" w:rsidRPr="0082617C">
        <w:t xml:space="preserve">bars further prosecution of an indictment </w:t>
      </w:r>
      <w:r w:rsidR="004050E6" w:rsidRPr="0082617C">
        <w:t xml:space="preserve">unless and until the suppression order is reversed, </w:t>
      </w:r>
      <w:r w:rsidR="00044FB1" w:rsidRPr="0082617C">
        <w:t xml:space="preserve">here, the </w:t>
      </w:r>
      <w:r w:rsidR="00C551DE" w:rsidRPr="0082617C">
        <w:t xml:space="preserve">withdrawal of the appeal upon court permission, nullified </w:t>
      </w:r>
      <w:r w:rsidR="00C16847" w:rsidRPr="0082617C">
        <w:t xml:space="preserve">it </w:t>
      </w:r>
      <w:r w:rsidR="001308F8" w:rsidRPr="0082617C">
        <w:t>and, consequently</w:t>
      </w:r>
      <w:r w:rsidR="00185136" w:rsidRPr="0082617C">
        <w:t>,</w:t>
      </w:r>
      <w:r w:rsidR="001308F8" w:rsidRPr="0082617C">
        <w:t xml:space="preserve"> there was no </w:t>
      </w:r>
      <w:r w:rsidR="00B84955" w:rsidRPr="0082617C">
        <w:t>determination of the merits of the lower court’s suppression order.</w:t>
      </w:r>
    </w:p>
    <w:p w14:paraId="7040036B" w14:textId="41893E1C" w:rsidR="002E0A13" w:rsidRPr="0082617C" w:rsidRDefault="00410F85">
      <w:r w:rsidRPr="0082617C">
        <w:t xml:space="preserve">In the court’s view, it is the UNSUCCESFUL PROSECUTION of an appeal rather than </w:t>
      </w:r>
      <w:r w:rsidR="00CC4DA8" w:rsidRPr="0082617C">
        <w:t xml:space="preserve">the FILING of the notice thereof with </w:t>
      </w:r>
      <w:r w:rsidR="00420D3F" w:rsidRPr="0082617C">
        <w:t xml:space="preserve">the requisite certification </w:t>
      </w:r>
      <w:r w:rsidR="00FD61F0" w:rsidRPr="0082617C">
        <w:t xml:space="preserve">that triggers the bar </w:t>
      </w:r>
      <w:r w:rsidR="00895FB3" w:rsidRPr="0082617C">
        <w:t xml:space="preserve">to further prosecution of an indictment </w:t>
      </w:r>
      <w:r w:rsidR="00586597" w:rsidRPr="0082617C">
        <w:t>which is the subject of an order of suppression (</w:t>
      </w:r>
      <w:r w:rsidR="00EE5D34" w:rsidRPr="0082617C">
        <w:t>c</w:t>
      </w:r>
      <w:r w:rsidR="00586597" w:rsidRPr="0082617C">
        <w:t xml:space="preserve">iting </w:t>
      </w:r>
      <w:r w:rsidR="00586597" w:rsidRPr="0082617C">
        <w:rPr>
          <w:i/>
          <w:iCs/>
        </w:rPr>
        <w:t>Forte</w:t>
      </w:r>
      <w:r w:rsidR="00EE5D34" w:rsidRPr="0082617C">
        <w:t>,</w:t>
      </w:r>
      <w:r w:rsidR="00586597" w:rsidRPr="0082617C">
        <w:t xml:space="preserve"> </w:t>
      </w:r>
      <w:r w:rsidR="00B122D4" w:rsidRPr="0082617C">
        <w:t xml:space="preserve">at </w:t>
      </w:r>
      <w:r w:rsidR="0062175B" w:rsidRPr="0082617C">
        <w:t>188).</w:t>
      </w:r>
    </w:p>
    <w:p w14:paraId="05A46372" w14:textId="542B0E27" w:rsidR="00DE0D4B" w:rsidRPr="0082617C" w:rsidRDefault="00EE5D34">
      <w:r w:rsidRPr="0082617C">
        <w:t>S</w:t>
      </w:r>
      <w:r w:rsidR="00A75CAD" w:rsidRPr="0082617C">
        <w:t xml:space="preserve">ince the People </w:t>
      </w:r>
      <w:r w:rsidR="001A47E6" w:rsidRPr="0082617C">
        <w:t>were not unsuccessful on appeal</w:t>
      </w:r>
      <w:r w:rsidR="004C1D89" w:rsidRPr="0082617C">
        <w:t>,</w:t>
      </w:r>
      <w:r w:rsidR="001A47E6" w:rsidRPr="0082617C">
        <w:t xml:space="preserve"> </w:t>
      </w:r>
      <w:r w:rsidR="00685BF9" w:rsidRPr="0082617C">
        <w:t>n</w:t>
      </w:r>
      <w:r w:rsidR="004B60C0" w:rsidRPr="0082617C">
        <w:t>or was there an affirmance of the suppression order</w:t>
      </w:r>
      <w:r w:rsidR="00060F22" w:rsidRPr="0082617C">
        <w:t xml:space="preserve">, there was no obstacle to </w:t>
      </w:r>
      <w:r w:rsidR="00206311" w:rsidRPr="0082617C">
        <w:t xml:space="preserve">their proceeding to trial with whatever </w:t>
      </w:r>
      <w:r w:rsidR="00F5418B" w:rsidRPr="0082617C">
        <w:t xml:space="preserve">proof they had </w:t>
      </w:r>
      <w:r w:rsidR="00FB52E9" w:rsidRPr="0082617C">
        <w:t>left.</w:t>
      </w:r>
    </w:p>
    <w:p w14:paraId="54DC0BCA" w14:textId="31465C5C" w:rsidR="00871FB6" w:rsidRPr="0082617C" w:rsidRDefault="0071039A">
      <w:r w:rsidRPr="0082617C">
        <w:t xml:space="preserve">The court further noted, however, that the People </w:t>
      </w:r>
      <w:r w:rsidR="00A62983" w:rsidRPr="0082617C">
        <w:t xml:space="preserve">would be charged with the speedy trial time from the </w:t>
      </w:r>
      <w:r w:rsidR="008312F9" w:rsidRPr="0082617C">
        <w:t xml:space="preserve">filing of the appeal and </w:t>
      </w:r>
      <w:r w:rsidR="002F337E" w:rsidRPr="0082617C">
        <w:t xml:space="preserve">moving to withdraw </w:t>
      </w:r>
      <w:r w:rsidR="00871FB6" w:rsidRPr="0082617C">
        <w:t>it.</w:t>
      </w:r>
      <w:r w:rsidR="00F63EE8" w:rsidRPr="0082617C">
        <w:t xml:space="preserve"> Normally, what is now CPL 30.30(7) re-commences the action for speedy trial purposes following, among other things, an appeal.</w:t>
      </w:r>
    </w:p>
    <w:p w14:paraId="2B6834EE" w14:textId="54C3822F" w:rsidR="00871FB6" w:rsidRPr="0082617C" w:rsidRDefault="00D913EB">
      <w:r w:rsidRPr="0082617C">
        <w:t>FINAL OBSERVATION</w:t>
      </w:r>
    </w:p>
    <w:p w14:paraId="30964375" w14:textId="77777777" w:rsidR="001F4B65" w:rsidRPr="0082617C" w:rsidRDefault="0043546F">
      <w:r w:rsidRPr="0082617C">
        <w:t xml:space="preserve">Both prosecutors and criminal defense attorneys should carefully </w:t>
      </w:r>
      <w:r w:rsidR="00212C2E" w:rsidRPr="0082617C">
        <w:t xml:space="preserve">evaluate any/all </w:t>
      </w:r>
      <w:r w:rsidR="00291B94" w:rsidRPr="0082617C">
        <w:t xml:space="preserve">suppression issues before </w:t>
      </w:r>
      <w:r w:rsidR="00C84CDA" w:rsidRPr="0082617C">
        <w:t xml:space="preserve">proceeding with a prosecution whether upon an information in the local criminal court or upon an indictment </w:t>
      </w:r>
      <w:r w:rsidR="0062726D" w:rsidRPr="0082617C">
        <w:t xml:space="preserve">(or superior court information) in superior court. </w:t>
      </w:r>
      <w:r w:rsidR="00D60C2D" w:rsidRPr="0082617C">
        <w:t xml:space="preserve">Doing so can better inform decision making on both sides </w:t>
      </w:r>
      <w:r w:rsidR="00207654" w:rsidRPr="0082617C">
        <w:t xml:space="preserve">whether to offer or accept a plea or proceed to a suppression hearing. </w:t>
      </w:r>
    </w:p>
    <w:p w14:paraId="4B010683" w14:textId="4F627F2B" w:rsidR="0062175B" w:rsidRPr="0082617C" w:rsidRDefault="001F4B65">
      <w:r w:rsidRPr="0082617C">
        <w:t xml:space="preserve">If the defense is successful in reducing the People’s </w:t>
      </w:r>
      <w:r w:rsidR="00024704" w:rsidRPr="0082617C">
        <w:t xml:space="preserve">arsenal of evidence, </w:t>
      </w:r>
      <w:r w:rsidR="00D014DA" w:rsidRPr="0082617C">
        <w:t xml:space="preserve">the People will likely request an adjournment to </w:t>
      </w:r>
      <w:r w:rsidR="00A300E3" w:rsidRPr="0082617C">
        <w:t xml:space="preserve">re-assess the state of their </w:t>
      </w:r>
      <w:r w:rsidR="004A5951" w:rsidRPr="0082617C">
        <w:t xml:space="preserve">remaining </w:t>
      </w:r>
      <w:r w:rsidR="003C6FCC" w:rsidRPr="0082617C">
        <w:t xml:space="preserve">proof and decide whether </w:t>
      </w:r>
      <w:r w:rsidR="00107CD4" w:rsidRPr="0082617C">
        <w:t>they can</w:t>
      </w:r>
      <w:r w:rsidR="00BE7783" w:rsidRPr="0082617C">
        <w:t>/should</w:t>
      </w:r>
      <w:r w:rsidR="00107CD4" w:rsidRPr="0082617C">
        <w:t xml:space="preserve"> </w:t>
      </w:r>
      <w:r w:rsidR="005A502D" w:rsidRPr="0082617C">
        <w:t xml:space="preserve">go </w:t>
      </w:r>
      <w:r w:rsidR="008F1F83" w:rsidRPr="0082617C">
        <w:t xml:space="preserve">forward with </w:t>
      </w:r>
      <w:r w:rsidR="00D00E90" w:rsidRPr="0082617C">
        <w:t xml:space="preserve">their weakened </w:t>
      </w:r>
      <w:r w:rsidR="00107CD4" w:rsidRPr="0082617C">
        <w:t>case, throw up the white flag</w:t>
      </w:r>
      <w:r w:rsidR="004F3BE5" w:rsidRPr="0082617C">
        <w:t xml:space="preserve"> or pursue an appeal in the hopes that the appellate court will </w:t>
      </w:r>
      <w:r w:rsidR="0041074B" w:rsidRPr="0082617C">
        <w:t>view the suppression issues differently than the trial court.</w:t>
      </w:r>
    </w:p>
    <w:p w14:paraId="58486585" w14:textId="161294CC" w:rsidR="00561BC8" w:rsidRPr="0082617C" w:rsidRDefault="00A74CA9">
      <w:r w:rsidRPr="0082617C">
        <w:t>Usually</w:t>
      </w:r>
      <w:r w:rsidR="00D839EC" w:rsidRPr="0082617C">
        <w:t>, suppression issues are more gray than black and white</w:t>
      </w:r>
      <w:r w:rsidR="00540E9A" w:rsidRPr="0082617C">
        <w:t xml:space="preserve">, </w:t>
      </w:r>
      <w:r w:rsidR="00D71D06" w:rsidRPr="0082617C">
        <w:t xml:space="preserve">but if </w:t>
      </w:r>
      <w:r w:rsidR="00940D42" w:rsidRPr="0082617C">
        <w:t xml:space="preserve">the defense has presented persuasive arguments </w:t>
      </w:r>
      <w:r w:rsidR="00C521BB" w:rsidRPr="0082617C">
        <w:t xml:space="preserve">and </w:t>
      </w:r>
      <w:r w:rsidR="00D71D06" w:rsidRPr="0082617C">
        <w:t xml:space="preserve">the hearing record </w:t>
      </w:r>
      <w:r w:rsidR="00AB265F" w:rsidRPr="0082617C">
        <w:t>supports the judge’s decision to suppre</w:t>
      </w:r>
      <w:r w:rsidR="00C521BB" w:rsidRPr="0082617C">
        <w:t xml:space="preserve">ss, the case </w:t>
      </w:r>
      <w:r w:rsidR="005641CB" w:rsidRPr="0082617C">
        <w:t xml:space="preserve">should </w:t>
      </w:r>
      <w:r w:rsidR="005641CB" w:rsidRPr="0082617C">
        <w:lastRenderedPageBreak/>
        <w:t xml:space="preserve">either end </w:t>
      </w:r>
      <w:r w:rsidR="00A04001" w:rsidRPr="0082617C">
        <w:t xml:space="preserve">there </w:t>
      </w:r>
      <w:r w:rsidR="00722A12" w:rsidRPr="0082617C">
        <w:t xml:space="preserve">(because </w:t>
      </w:r>
      <w:r w:rsidR="00A04001" w:rsidRPr="0082617C">
        <w:t>the Peo</w:t>
      </w:r>
      <w:r w:rsidR="009672BF" w:rsidRPr="0082617C">
        <w:t>ple have see</w:t>
      </w:r>
      <w:r w:rsidR="00CA23BB" w:rsidRPr="0082617C">
        <w:t>n the futility of their position)</w:t>
      </w:r>
      <w:r w:rsidR="00222BF3" w:rsidRPr="0082617C">
        <w:t xml:space="preserve"> or result in an affirmance on appeal.</w:t>
      </w:r>
    </w:p>
    <w:p w14:paraId="3D7D041E" w14:textId="6C086928" w:rsidR="008F1F83" w:rsidRDefault="00B13FC0">
      <w:r w:rsidRPr="0082617C">
        <w:t xml:space="preserve">If </w:t>
      </w:r>
      <w:r w:rsidR="00605A96" w:rsidRPr="0082617C">
        <w:t>the decision is reversed</w:t>
      </w:r>
      <w:r w:rsidRPr="0082617C">
        <w:t xml:space="preserve">, </w:t>
      </w:r>
      <w:r w:rsidR="008841A4" w:rsidRPr="0082617C">
        <w:t xml:space="preserve">the defense should either angle for a favorable sentence commitment </w:t>
      </w:r>
      <w:r w:rsidR="002B5FEA" w:rsidRPr="0082617C">
        <w:t>(</w:t>
      </w:r>
      <w:r w:rsidR="0054177B" w:rsidRPr="0082617C">
        <w:t>which may be hard to come by at this stage of the proceedings)</w:t>
      </w:r>
      <w:r w:rsidR="00561BC8" w:rsidRPr="0082617C">
        <w:t xml:space="preserve"> or </w:t>
      </w:r>
      <w:r w:rsidR="007A17B9" w:rsidRPr="0082617C">
        <w:t>proceed to trial. If the suppression issue involve</w:t>
      </w:r>
      <w:r w:rsidR="00FC065C" w:rsidRPr="0082617C">
        <w:t>d</w:t>
      </w:r>
      <w:r w:rsidR="007A17B9" w:rsidRPr="0082617C">
        <w:t xml:space="preserve"> voluntariness of</w:t>
      </w:r>
      <w:r w:rsidR="00FD6287" w:rsidRPr="0082617C">
        <w:t xml:space="preserve"> the </w:t>
      </w:r>
      <w:r w:rsidR="003A1A25" w:rsidRPr="0082617C">
        <w:t>defendant’s</w:t>
      </w:r>
      <w:r w:rsidR="007A17B9" w:rsidRPr="0082617C">
        <w:t xml:space="preserve"> statements</w:t>
      </w:r>
      <w:r w:rsidR="007E0FDF" w:rsidRPr="0082617C">
        <w:t xml:space="preserve">, or a suggestive pre-trial identification procedure </w:t>
      </w:r>
      <w:r w:rsidR="00FB3889" w:rsidRPr="0082617C">
        <w:t xml:space="preserve">that </w:t>
      </w:r>
      <w:r w:rsidR="007E0FDF" w:rsidRPr="0082617C">
        <w:t>cast</w:t>
      </w:r>
      <w:r w:rsidR="00FB3889" w:rsidRPr="0082617C">
        <w:t>s</w:t>
      </w:r>
      <w:r w:rsidR="007E0FDF" w:rsidRPr="0082617C">
        <w:t xml:space="preserve"> doubt on the reliability of an in-court identification</w:t>
      </w:r>
      <w:r w:rsidR="00F50CFD" w:rsidRPr="0082617C">
        <w:t xml:space="preserve">, then counsel should consider raising </w:t>
      </w:r>
      <w:r w:rsidR="00FD6287" w:rsidRPr="0082617C">
        <w:t xml:space="preserve">it </w:t>
      </w:r>
      <w:r w:rsidR="00F50CFD" w:rsidRPr="0082617C">
        <w:t xml:space="preserve">with the jury </w:t>
      </w:r>
      <w:r w:rsidR="00D91BC2" w:rsidRPr="0082617C">
        <w:t>(CPL 710.70 [3]</w:t>
      </w:r>
      <w:r w:rsidR="007E0FDF" w:rsidRPr="0082617C">
        <w:t xml:space="preserve">; </w:t>
      </w:r>
      <w:r w:rsidR="007E0FDF" w:rsidRPr="0082617C">
        <w:rPr>
          <w:i/>
          <w:iCs/>
        </w:rPr>
        <w:t>People v Aponte</w:t>
      </w:r>
      <w:r w:rsidR="007E0FDF" w:rsidRPr="0082617C">
        <w:t>, 204 AD3d 1031 [2</w:t>
      </w:r>
      <w:r w:rsidR="007E0FDF" w:rsidRPr="0082617C">
        <w:rPr>
          <w:vertAlign w:val="superscript"/>
        </w:rPr>
        <w:t>nd</w:t>
      </w:r>
      <w:r w:rsidR="007E0FDF" w:rsidRPr="0082617C">
        <w:t xml:space="preserve"> Dept 2022</w:t>
      </w:r>
      <w:r w:rsidR="00FB3889" w:rsidRPr="0082617C">
        <w:t>]</w:t>
      </w:r>
      <w:r w:rsidR="00D91BC2" w:rsidRPr="0082617C">
        <w:t xml:space="preserve">). </w:t>
      </w:r>
      <w:r w:rsidR="003A1A25" w:rsidRPr="0082617C">
        <w:t xml:space="preserve"> </w:t>
      </w:r>
      <w:r w:rsidR="00177A85" w:rsidRPr="0082617C">
        <w:t>As</w:t>
      </w:r>
      <w:r w:rsidR="00B46F5A" w:rsidRPr="0082617C">
        <w:t xml:space="preserve"> the title</w:t>
      </w:r>
      <w:r w:rsidR="00B07D89" w:rsidRPr="0082617C">
        <w:t xml:space="preserve"> </w:t>
      </w:r>
      <w:r w:rsidR="003A1A25" w:rsidRPr="0082617C">
        <w:t xml:space="preserve">to </w:t>
      </w:r>
      <w:r w:rsidR="00B07D89" w:rsidRPr="0082617C">
        <w:t xml:space="preserve">the 1939 Bob Hope-Martha Raye </w:t>
      </w:r>
      <w:r w:rsidR="005E341A" w:rsidRPr="0082617C">
        <w:t>film</w:t>
      </w:r>
      <w:r w:rsidR="00E1634B" w:rsidRPr="0082617C">
        <w:t xml:space="preserve"> st</w:t>
      </w:r>
      <w:r w:rsidR="00D80B63" w:rsidRPr="0082617C">
        <w:t>ates, “Never Say Die.”</w:t>
      </w:r>
    </w:p>
    <w:p w14:paraId="25C5EFC0" w14:textId="77777777" w:rsidR="007859A1" w:rsidRDefault="007859A1"/>
    <w:p w14:paraId="5D2A7E54" w14:textId="77777777" w:rsidR="00BE7783" w:rsidRDefault="00BE7783"/>
    <w:p w14:paraId="5369EB2F" w14:textId="77777777" w:rsidR="00B84955" w:rsidRDefault="00B84955"/>
    <w:p w14:paraId="1DECFDE7" w14:textId="77777777" w:rsidR="005B7CD3" w:rsidRDefault="005B7CD3"/>
    <w:p w14:paraId="234A0B78" w14:textId="77777777" w:rsidR="005B7CD3" w:rsidRDefault="005B7CD3"/>
    <w:sectPr w:rsidR="005B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F1"/>
    <w:rsid w:val="000071A2"/>
    <w:rsid w:val="00007846"/>
    <w:rsid w:val="00013144"/>
    <w:rsid w:val="00017DFB"/>
    <w:rsid w:val="00020841"/>
    <w:rsid w:val="0002355B"/>
    <w:rsid w:val="00024704"/>
    <w:rsid w:val="00044FB1"/>
    <w:rsid w:val="00052B96"/>
    <w:rsid w:val="00054E78"/>
    <w:rsid w:val="00060F22"/>
    <w:rsid w:val="00071E5B"/>
    <w:rsid w:val="00090DBD"/>
    <w:rsid w:val="00090FBE"/>
    <w:rsid w:val="00095927"/>
    <w:rsid w:val="000C4876"/>
    <w:rsid w:val="000D2D72"/>
    <w:rsid w:val="000F0A74"/>
    <w:rsid w:val="000F7FFB"/>
    <w:rsid w:val="00107396"/>
    <w:rsid w:val="00107CD4"/>
    <w:rsid w:val="0011074E"/>
    <w:rsid w:val="00126E50"/>
    <w:rsid w:val="001308F8"/>
    <w:rsid w:val="0015320E"/>
    <w:rsid w:val="00160360"/>
    <w:rsid w:val="001749ED"/>
    <w:rsid w:val="00177A85"/>
    <w:rsid w:val="00185136"/>
    <w:rsid w:val="00192707"/>
    <w:rsid w:val="00193F8A"/>
    <w:rsid w:val="00194FF6"/>
    <w:rsid w:val="001A1937"/>
    <w:rsid w:val="001A47E6"/>
    <w:rsid w:val="001B4631"/>
    <w:rsid w:val="001C0F6F"/>
    <w:rsid w:val="001D3567"/>
    <w:rsid w:val="001D71C1"/>
    <w:rsid w:val="001E38E8"/>
    <w:rsid w:val="001F4B65"/>
    <w:rsid w:val="00206311"/>
    <w:rsid w:val="00207654"/>
    <w:rsid w:val="002108EE"/>
    <w:rsid w:val="00212C2E"/>
    <w:rsid w:val="00213B5E"/>
    <w:rsid w:val="00213C7E"/>
    <w:rsid w:val="0021610B"/>
    <w:rsid w:val="00221705"/>
    <w:rsid w:val="0022264E"/>
    <w:rsid w:val="00222BF3"/>
    <w:rsid w:val="00224BF4"/>
    <w:rsid w:val="002279A7"/>
    <w:rsid w:val="002279F5"/>
    <w:rsid w:val="00235304"/>
    <w:rsid w:val="00235AA4"/>
    <w:rsid w:val="00242D11"/>
    <w:rsid w:val="0024327D"/>
    <w:rsid w:val="002473F5"/>
    <w:rsid w:val="002512F8"/>
    <w:rsid w:val="00256334"/>
    <w:rsid w:val="002611BE"/>
    <w:rsid w:val="00264C22"/>
    <w:rsid w:val="0027263B"/>
    <w:rsid w:val="00276AE4"/>
    <w:rsid w:val="002847DF"/>
    <w:rsid w:val="00291B94"/>
    <w:rsid w:val="002A3A43"/>
    <w:rsid w:val="002A41B3"/>
    <w:rsid w:val="002B3EFD"/>
    <w:rsid w:val="002B5FEA"/>
    <w:rsid w:val="002B6C4F"/>
    <w:rsid w:val="002D51F6"/>
    <w:rsid w:val="002E0A13"/>
    <w:rsid w:val="002E2A0D"/>
    <w:rsid w:val="002F337E"/>
    <w:rsid w:val="0030702C"/>
    <w:rsid w:val="00311152"/>
    <w:rsid w:val="0031365F"/>
    <w:rsid w:val="00320266"/>
    <w:rsid w:val="00320B71"/>
    <w:rsid w:val="00322556"/>
    <w:rsid w:val="0032409B"/>
    <w:rsid w:val="00324603"/>
    <w:rsid w:val="0032685D"/>
    <w:rsid w:val="003375C5"/>
    <w:rsid w:val="00385544"/>
    <w:rsid w:val="003954A8"/>
    <w:rsid w:val="003A1A25"/>
    <w:rsid w:val="003C65BB"/>
    <w:rsid w:val="003C6FCC"/>
    <w:rsid w:val="003D6417"/>
    <w:rsid w:val="003E0269"/>
    <w:rsid w:val="003E0CCE"/>
    <w:rsid w:val="003E4ECD"/>
    <w:rsid w:val="003F100F"/>
    <w:rsid w:val="004050E6"/>
    <w:rsid w:val="00407CA7"/>
    <w:rsid w:val="0041074B"/>
    <w:rsid w:val="00410DBE"/>
    <w:rsid w:val="00410F85"/>
    <w:rsid w:val="00412D95"/>
    <w:rsid w:val="0041317D"/>
    <w:rsid w:val="00420D3F"/>
    <w:rsid w:val="004216CD"/>
    <w:rsid w:val="0043546F"/>
    <w:rsid w:val="00436F7E"/>
    <w:rsid w:val="004523CB"/>
    <w:rsid w:val="004570D9"/>
    <w:rsid w:val="00462E54"/>
    <w:rsid w:val="00463AD9"/>
    <w:rsid w:val="00467941"/>
    <w:rsid w:val="00471E9A"/>
    <w:rsid w:val="00473AEF"/>
    <w:rsid w:val="004818FA"/>
    <w:rsid w:val="004A5951"/>
    <w:rsid w:val="004B5D6E"/>
    <w:rsid w:val="004B60C0"/>
    <w:rsid w:val="004C0B0E"/>
    <w:rsid w:val="004C1732"/>
    <w:rsid w:val="004C1D89"/>
    <w:rsid w:val="004C59E7"/>
    <w:rsid w:val="004C7256"/>
    <w:rsid w:val="004D41FF"/>
    <w:rsid w:val="004E4A69"/>
    <w:rsid w:val="004F3BE5"/>
    <w:rsid w:val="00501E25"/>
    <w:rsid w:val="005035A0"/>
    <w:rsid w:val="005122BA"/>
    <w:rsid w:val="00523F3F"/>
    <w:rsid w:val="00526E68"/>
    <w:rsid w:val="00540E9A"/>
    <w:rsid w:val="0054177B"/>
    <w:rsid w:val="00543831"/>
    <w:rsid w:val="00544D00"/>
    <w:rsid w:val="00545A28"/>
    <w:rsid w:val="0055588B"/>
    <w:rsid w:val="00561214"/>
    <w:rsid w:val="00561BC8"/>
    <w:rsid w:val="005641CB"/>
    <w:rsid w:val="00567343"/>
    <w:rsid w:val="00582A41"/>
    <w:rsid w:val="00586597"/>
    <w:rsid w:val="00593AE7"/>
    <w:rsid w:val="00594A85"/>
    <w:rsid w:val="005A39EE"/>
    <w:rsid w:val="005A502D"/>
    <w:rsid w:val="005A5EF3"/>
    <w:rsid w:val="005B24F7"/>
    <w:rsid w:val="005B5EE4"/>
    <w:rsid w:val="005B7CD3"/>
    <w:rsid w:val="005D32AE"/>
    <w:rsid w:val="005D4F04"/>
    <w:rsid w:val="005D68B8"/>
    <w:rsid w:val="005E341A"/>
    <w:rsid w:val="005E48C4"/>
    <w:rsid w:val="005E5A28"/>
    <w:rsid w:val="005F15F2"/>
    <w:rsid w:val="005F3378"/>
    <w:rsid w:val="00605A96"/>
    <w:rsid w:val="00614E50"/>
    <w:rsid w:val="0062175B"/>
    <w:rsid w:val="00625B25"/>
    <w:rsid w:val="0062726D"/>
    <w:rsid w:val="0063662C"/>
    <w:rsid w:val="00636D15"/>
    <w:rsid w:val="0064123F"/>
    <w:rsid w:val="00642AA1"/>
    <w:rsid w:val="00643EC2"/>
    <w:rsid w:val="00644688"/>
    <w:rsid w:val="00650D9A"/>
    <w:rsid w:val="0065580F"/>
    <w:rsid w:val="0066088C"/>
    <w:rsid w:val="006662D8"/>
    <w:rsid w:val="00675D8D"/>
    <w:rsid w:val="00676267"/>
    <w:rsid w:val="00685BF9"/>
    <w:rsid w:val="00693A5F"/>
    <w:rsid w:val="006979D3"/>
    <w:rsid w:val="006A0306"/>
    <w:rsid w:val="006A0D4E"/>
    <w:rsid w:val="006A5B2E"/>
    <w:rsid w:val="006C706D"/>
    <w:rsid w:val="006D00F1"/>
    <w:rsid w:val="006E7C57"/>
    <w:rsid w:val="00704569"/>
    <w:rsid w:val="0071039A"/>
    <w:rsid w:val="007162F8"/>
    <w:rsid w:val="00721719"/>
    <w:rsid w:val="00722A12"/>
    <w:rsid w:val="00725249"/>
    <w:rsid w:val="00725610"/>
    <w:rsid w:val="00737309"/>
    <w:rsid w:val="00754004"/>
    <w:rsid w:val="007859A1"/>
    <w:rsid w:val="00792176"/>
    <w:rsid w:val="00797769"/>
    <w:rsid w:val="007A17B9"/>
    <w:rsid w:val="007B0661"/>
    <w:rsid w:val="007B076C"/>
    <w:rsid w:val="007B5E17"/>
    <w:rsid w:val="007C10C6"/>
    <w:rsid w:val="007D6C5B"/>
    <w:rsid w:val="007E0B5D"/>
    <w:rsid w:val="007E0FDF"/>
    <w:rsid w:val="007E56C2"/>
    <w:rsid w:val="007F2E6E"/>
    <w:rsid w:val="00805895"/>
    <w:rsid w:val="0082617C"/>
    <w:rsid w:val="008312F9"/>
    <w:rsid w:val="00862B01"/>
    <w:rsid w:val="00870832"/>
    <w:rsid w:val="00871FB6"/>
    <w:rsid w:val="00875DCB"/>
    <w:rsid w:val="008841A4"/>
    <w:rsid w:val="008918B2"/>
    <w:rsid w:val="00893442"/>
    <w:rsid w:val="00893D95"/>
    <w:rsid w:val="00895FB3"/>
    <w:rsid w:val="008A726A"/>
    <w:rsid w:val="008B2288"/>
    <w:rsid w:val="008D1F5E"/>
    <w:rsid w:val="008D579A"/>
    <w:rsid w:val="008E03BA"/>
    <w:rsid w:val="008E47C7"/>
    <w:rsid w:val="008F1F83"/>
    <w:rsid w:val="008F591E"/>
    <w:rsid w:val="00916289"/>
    <w:rsid w:val="00920BD2"/>
    <w:rsid w:val="00923DB6"/>
    <w:rsid w:val="00924FE5"/>
    <w:rsid w:val="009271BB"/>
    <w:rsid w:val="00927988"/>
    <w:rsid w:val="0093148F"/>
    <w:rsid w:val="00932C26"/>
    <w:rsid w:val="00935F7E"/>
    <w:rsid w:val="00940D42"/>
    <w:rsid w:val="0095124E"/>
    <w:rsid w:val="00953DD0"/>
    <w:rsid w:val="00966793"/>
    <w:rsid w:val="009672BF"/>
    <w:rsid w:val="00976EA6"/>
    <w:rsid w:val="009979D6"/>
    <w:rsid w:val="009C3644"/>
    <w:rsid w:val="009D5899"/>
    <w:rsid w:val="009E4698"/>
    <w:rsid w:val="009F7966"/>
    <w:rsid w:val="00A00002"/>
    <w:rsid w:val="00A037B1"/>
    <w:rsid w:val="00A04001"/>
    <w:rsid w:val="00A2083C"/>
    <w:rsid w:val="00A2294E"/>
    <w:rsid w:val="00A2358C"/>
    <w:rsid w:val="00A2540C"/>
    <w:rsid w:val="00A25A6F"/>
    <w:rsid w:val="00A300E3"/>
    <w:rsid w:val="00A3180E"/>
    <w:rsid w:val="00A37FF7"/>
    <w:rsid w:val="00A53F2D"/>
    <w:rsid w:val="00A62983"/>
    <w:rsid w:val="00A74CA9"/>
    <w:rsid w:val="00A75CAD"/>
    <w:rsid w:val="00A7748E"/>
    <w:rsid w:val="00A86590"/>
    <w:rsid w:val="00A97F56"/>
    <w:rsid w:val="00AA01ED"/>
    <w:rsid w:val="00AA58B3"/>
    <w:rsid w:val="00AA5E4C"/>
    <w:rsid w:val="00AB265F"/>
    <w:rsid w:val="00AB5088"/>
    <w:rsid w:val="00AB69A9"/>
    <w:rsid w:val="00AF43C2"/>
    <w:rsid w:val="00AF4818"/>
    <w:rsid w:val="00B07A3F"/>
    <w:rsid w:val="00B07D89"/>
    <w:rsid w:val="00B108CD"/>
    <w:rsid w:val="00B122D4"/>
    <w:rsid w:val="00B13FC0"/>
    <w:rsid w:val="00B33587"/>
    <w:rsid w:val="00B34EDA"/>
    <w:rsid w:val="00B35E5C"/>
    <w:rsid w:val="00B46F5A"/>
    <w:rsid w:val="00B577E0"/>
    <w:rsid w:val="00B75B52"/>
    <w:rsid w:val="00B83388"/>
    <w:rsid w:val="00B84955"/>
    <w:rsid w:val="00B84A08"/>
    <w:rsid w:val="00B868E6"/>
    <w:rsid w:val="00B91826"/>
    <w:rsid w:val="00B95DC2"/>
    <w:rsid w:val="00BA2796"/>
    <w:rsid w:val="00BC043A"/>
    <w:rsid w:val="00BC6EF1"/>
    <w:rsid w:val="00BD6313"/>
    <w:rsid w:val="00BD6B15"/>
    <w:rsid w:val="00BD6CEC"/>
    <w:rsid w:val="00BE5028"/>
    <w:rsid w:val="00BE7783"/>
    <w:rsid w:val="00BF4F5A"/>
    <w:rsid w:val="00C05B1A"/>
    <w:rsid w:val="00C16847"/>
    <w:rsid w:val="00C20CEC"/>
    <w:rsid w:val="00C22972"/>
    <w:rsid w:val="00C33C9F"/>
    <w:rsid w:val="00C446BB"/>
    <w:rsid w:val="00C466DE"/>
    <w:rsid w:val="00C519AB"/>
    <w:rsid w:val="00C521BB"/>
    <w:rsid w:val="00C52CAA"/>
    <w:rsid w:val="00C551DE"/>
    <w:rsid w:val="00C637A8"/>
    <w:rsid w:val="00C65213"/>
    <w:rsid w:val="00C84CDA"/>
    <w:rsid w:val="00C9359F"/>
    <w:rsid w:val="00CA0886"/>
    <w:rsid w:val="00CA23BB"/>
    <w:rsid w:val="00CA4B1A"/>
    <w:rsid w:val="00CB0FE5"/>
    <w:rsid w:val="00CC01D0"/>
    <w:rsid w:val="00CC4DA8"/>
    <w:rsid w:val="00CD1584"/>
    <w:rsid w:val="00CE5871"/>
    <w:rsid w:val="00CE721F"/>
    <w:rsid w:val="00CF14FE"/>
    <w:rsid w:val="00CF1A38"/>
    <w:rsid w:val="00CF547D"/>
    <w:rsid w:val="00D00E90"/>
    <w:rsid w:val="00D014DA"/>
    <w:rsid w:val="00D244A6"/>
    <w:rsid w:val="00D3177C"/>
    <w:rsid w:val="00D50F6C"/>
    <w:rsid w:val="00D5727E"/>
    <w:rsid w:val="00D60C2D"/>
    <w:rsid w:val="00D71D06"/>
    <w:rsid w:val="00D7227C"/>
    <w:rsid w:val="00D756ED"/>
    <w:rsid w:val="00D76B93"/>
    <w:rsid w:val="00D80B63"/>
    <w:rsid w:val="00D839EC"/>
    <w:rsid w:val="00D90067"/>
    <w:rsid w:val="00D913EB"/>
    <w:rsid w:val="00D91BC2"/>
    <w:rsid w:val="00D95B19"/>
    <w:rsid w:val="00D9684C"/>
    <w:rsid w:val="00DA01E4"/>
    <w:rsid w:val="00DA0B21"/>
    <w:rsid w:val="00DA31C2"/>
    <w:rsid w:val="00DE0D4B"/>
    <w:rsid w:val="00DE1E47"/>
    <w:rsid w:val="00DE5B71"/>
    <w:rsid w:val="00DF3C05"/>
    <w:rsid w:val="00E00256"/>
    <w:rsid w:val="00E06F3D"/>
    <w:rsid w:val="00E1167F"/>
    <w:rsid w:val="00E1634B"/>
    <w:rsid w:val="00E23E72"/>
    <w:rsid w:val="00E241ED"/>
    <w:rsid w:val="00E35787"/>
    <w:rsid w:val="00E41B00"/>
    <w:rsid w:val="00E66F69"/>
    <w:rsid w:val="00E7696D"/>
    <w:rsid w:val="00E83C77"/>
    <w:rsid w:val="00EB1124"/>
    <w:rsid w:val="00EB189E"/>
    <w:rsid w:val="00EB3E00"/>
    <w:rsid w:val="00EB6306"/>
    <w:rsid w:val="00EB7777"/>
    <w:rsid w:val="00EE5D34"/>
    <w:rsid w:val="00EE718F"/>
    <w:rsid w:val="00EF4BBC"/>
    <w:rsid w:val="00EF643B"/>
    <w:rsid w:val="00F0730B"/>
    <w:rsid w:val="00F14359"/>
    <w:rsid w:val="00F2089E"/>
    <w:rsid w:val="00F32E06"/>
    <w:rsid w:val="00F50CFD"/>
    <w:rsid w:val="00F5418B"/>
    <w:rsid w:val="00F56C5C"/>
    <w:rsid w:val="00F57F27"/>
    <w:rsid w:val="00F63EE8"/>
    <w:rsid w:val="00F838E9"/>
    <w:rsid w:val="00FA0EF9"/>
    <w:rsid w:val="00FA279A"/>
    <w:rsid w:val="00FA472C"/>
    <w:rsid w:val="00FB3568"/>
    <w:rsid w:val="00FB3889"/>
    <w:rsid w:val="00FB52E9"/>
    <w:rsid w:val="00FC065C"/>
    <w:rsid w:val="00FC29CD"/>
    <w:rsid w:val="00FC63C2"/>
    <w:rsid w:val="00FD61F0"/>
    <w:rsid w:val="00FD6287"/>
    <w:rsid w:val="00FD775C"/>
    <w:rsid w:val="00FE67C7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CD05"/>
  <w15:chartTrackingRefBased/>
  <w15:docId w15:val="{7D55A383-C8B9-43BE-9960-AADFF23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Franczyk</dc:creator>
  <cp:keywords/>
  <dc:description/>
  <cp:lastModifiedBy>Matthew  Powers</cp:lastModifiedBy>
  <cp:revision>2</cp:revision>
  <dcterms:created xsi:type="dcterms:W3CDTF">2023-12-05T19:18:00Z</dcterms:created>
  <dcterms:modified xsi:type="dcterms:W3CDTF">2023-12-05T19:18:00Z</dcterms:modified>
</cp:coreProperties>
</file>