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014" w14:textId="17B432D3" w:rsidR="00647D65" w:rsidRPr="002F10F7" w:rsidRDefault="000206CE">
      <w:r w:rsidRPr="002F10F7">
        <w:t>“TOUGHT IT, SAID IT, DID IT</w:t>
      </w:r>
      <w:proofErr w:type="gramStart"/>
      <w:r w:rsidRPr="002F10F7">
        <w:t>” :</w:t>
      </w:r>
      <w:proofErr w:type="gramEnd"/>
      <w:r w:rsidRPr="002F10F7">
        <w:t xml:space="preserve"> THE STATE OF MIND AND STATEMENT OF FUTURE INTENT EXCEPTIONS</w:t>
      </w:r>
    </w:p>
    <w:p w14:paraId="770E7D53" w14:textId="1A89C726" w:rsidR="000206CE" w:rsidRPr="002F10F7" w:rsidRDefault="000206CE">
      <w:r w:rsidRPr="002F10F7">
        <w:t xml:space="preserve">                                                        TO THE RULE AGAINST HEARSAY</w:t>
      </w:r>
    </w:p>
    <w:p w14:paraId="32A9BA79" w14:textId="34637A3E" w:rsidR="000206CE" w:rsidRPr="002F10F7" w:rsidRDefault="000206CE"/>
    <w:p w14:paraId="67555E88" w14:textId="4183B9F9" w:rsidR="000206CE" w:rsidRPr="002F10F7" w:rsidRDefault="000206CE">
      <w:r w:rsidRPr="002F10F7">
        <w:t>Thomas P. Franczyk</w:t>
      </w:r>
    </w:p>
    <w:p w14:paraId="758255DA" w14:textId="1AAF9AA3" w:rsidR="000206CE" w:rsidRPr="002F10F7" w:rsidRDefault="000206CE">
      <w:r w:rsidRPr="002F10F7">
        <w:t xml:space="preserve">Mentor-at-Large to the </w:t>
      </w:r>
    </w:p>
    <w:p w14:paraId="5DCC1802" w14:textId="65FF50D1" w:rsidR="000206CE" w:rsidRPr="002F10F7" w:rsidRDefault="000206CE">
      <w:r w:rsidRPr="002F10F7">
        <w:t>Assigned Counsel Program</w:t>
      </w:r>
    </w:p>
    <w:p w14:paraId="19197DBC" w14:textId="49FEC887" w:rsidR="000206CE" w:rsidRPr="002F10F7" w:rsidRDefault="00F708EB">
      <w:r w:rsidRPr="002F10F7">
        <w:t>October</w:t>
      </w:r>
      <w:r w:rsidR="000206CE" w:rsidRPr="002F10F7">
        <w:t xml:space="preserve"> 2023</w:t>
      </w:r>
    </w:p>
    <w:p w14:paraId="3B1FF258" w14:textId="53A0F89A" w:rsidR="001D671B" w:rsidRPr="002F10F7" w:rsidRDefault="001D671B"/>
    <w:p w14:paraId="616E1598" w14:textId="7A87AD7E" w:rsidR="001D671B" w:rsidRPr="002F10F7" w:rsidRDefault="001D671B">
      <w:r w:rsidRPr="002F10F7">
        <w:t>INTRODUCTION:</w:t>
      </w:r>
    </w:p>
    <w:p w14:paraId="4217ADCA" w14:textId="548A4F46" w:rsidR="001D671B" w:rsidRPr="002F10F7" w:rsidRDefault="009462E6">
      <w:r w:rsidRPr="002F10F7">
        <w:t>While the</w:t>
      </w:r>
      <w:r w:rsidR="00DC434C" w:rsidRPr="002F10F7">
        <w:t xml:space="preserve"> New York </w:t>
      </w:r>
      <w:r w:rsidR="00C017AE" w:rsidRPr="002F10F7">
        <w:t xml:space="preserve">(Advisory) Rules </w:t>
      </w:r>
      <w:r w:rsidRPr="002F10F7">
        <w:t xml:space="preserve">of Evidence </w:t>
      </w:r>
      <w:r w:rsidR="00987DF3" w:rsidRPr="002F10F7">
        <w:t xml:space="preserve">state that out-of-court statements </w:t>
      </w:r>
      <w:r w:rsidR="00B76843" w:rsidRPr="002F10F7">
        <w:t>offered to prove the truth of their contents are</w:t>
      </w:r>
      <w:r w:rsidR="0065498D" w:rsidRPr="002F10F7">
        <w:t xml:space="preserve"> </w:t>
      </w:r>
      <w:r w:rsidR="00DE12EC" w:rsidRPr="002F10F7">
        <w:t>ge</w:t>
      </w:r>
      <w:r w:rsidR="00BA0922" w:rsidRPr="002F10F7">
        <w:t xml:space="preserve">nerally </w:t>
      </w:r>
      <w:r w:rsidR="0065498D" w:rsidRPr="002F10F7">
        <w:t xml:space="preserve">inadmissible as evidence, </w:t>
      </w:r>
      <w:r w:rsidR="00CF00B6" w:rsidRPr="002F10F7">
        <w:t>there are plenty of exceptions to that prohibition based</w:t>
      </w:r>
      <w:r w:rsidR="00D17830" w:rsidRPr="002F10F7">
        <w:t xml:space="preserve"> </w:t>
      </w:r>
      <w:r w:rsidR="00BA3B30" w:rsidRPr="002F10F7">
        <w:t xml:space="preserve">primarily on </w:t>
      </w:r>
      <w:r w:rsidR="00485350" w:rsidRPr="002F10F7">
        <w:t xml:space="preserve">indicia of </w:t>
      </w:r>
      <w:r w:rsidR="00CB63B8" w:rsidRPr="002F10F7">
        <w:t>reliability (</w:t>
      </w:r>
      <w:r w:rsidR="00F708EB" w:rsidRPr="002F10F7">
        <w:t>i</w:t>
      </w:r>
      <w:r w:rsidR="00CB63B8" w:rsidRPr="002F10F7">
        <w:t>.e.</w:t>
      </w:r>
      <w:r w:rsidR="00FF77D5" w:rsidRPr="002F10F7">
        <w:t>,</w:t>
      </w:r>
      <w:r w:rsidR="00CB63B8" w:rsidRPr="002F10F7">
        <w:t xml:space="preserve"> a reasonable likelihood of truth) </w:t>
      </w:r>
      <w:r w:rsidR="00050A04" w:rsidRPr="002F10F7">
        <w:t>and necessity (i.e.</w:t>
      </w:r>
      <w:r w:rsidR="00FF77D5" w:rsidRPr="002F10F7">
        <w:t>,</w:t>
      </w:r>
      <w:r w:rsidR="00050A04" w:rsidRPr="002F10F7">
        <w:t xml:space="preserve"> no other or better evidence available) </w:t>
      </w:r>
      <w:r w:rsidR="00A27737" w:rsidRPr="002F10F7">
        <w:t>(</w:t>
      </w:r>
      <w:r w:rsidR="00F708EB" w:rsidRPr="002F10F7">
        <w:t>s</w:t>
      </w:r>
      <w:r w:rsidR="00A27737" w:rsidRPr="002F10F7">
        <w:t xml:space="preserve">ee Article 8 of the </w:t>
      </w:r>
      <w:r w:rsidR="00C017AE" w:rsidRPr="002F10F7">
        <w:t xml:space="preserve">New York </w:t>
      </w:r>
      <w:r w:rsidR="00383E44" w:rsidRPr="002F10F7">
        <w:t xml:space="preserve">Rules of Evidence at nycourts.gov). </w:t>
      </w:r>
    </w:p>
    <w:p w14:paraId="5122E25E" w14:textId="31C8BC47" w:rsidR="00584192" w:rsidRPr="002F10F7" w:rsidRDefault="00BA0922">
      <w:r w:rsidRPr="002F10F7">
        <w:t xml:space="preserve">As noted in </w:t>
      </w:r>
      <w:r w:rsidR="00DD0570" w:rsidRPr="002F10F7">
        <w:t>Rule 8.2</w:t>
      </w:r>
      <w:r w:rsidR="0079316D" w:rsidRPr="002F10F7">
        <w:t xml:space="preserve"> (1)(a), “</w:t>
      </w:r>
      <w:r w:rsidR="00890004" w:rsidRPr="002F10F7">
        <w:t xml:space="preserve">hearsay is not admissible unless it </w:t>
      </w:r>
      <w:r w:rsidR="0023248A" w:rsidRPr="002F10F7">
        <w:t xml:space="preserve">falls within an exception to the hearsay rule </w:t>
      </w:r>
      <w:r w:rsidR="00A14FAB" w:rsidRPr="002F10F7">
        <w:t xml:space="preserve">as </w:t>
      </w:r>
      <w:r w:rsidR="00C52F30" w:rsidRPr="002F10F7">
        <w:t>provided by</w:t>
      </w:r>
      <w:r w:rsidR="00A14FAB" w:rsidRPr="002F10F7">
        <w:t xml:space="preserve"> decisional law </w:t>
      </w:r>
      <w:r w:rsidR="00C92E42" w:rsidRPr="002F10F7">
        <w:t>or statute, (e.g.</w:t>
      </w:r>
      <w:r w:rsidR="00FF77D5" w:rsidRPr="002F10F7">
        <w:t>,</w:t>
      </w:r>
      <w:r w:rsidR="00C92E42" w:rsidRPr="002F10F7">
        <w:t xml:space="preserve"> CPL Arti</w:t>
      </w:r>
      <w:r w:rsidR="00EF5786" w:rsidRPr="002F10F7">
        <w:t xml:space="preserve">cle 60) and is admissible under the </w:t>
      </w:r>
      <w:r w:rsidR="00E634A4" w:rsidRPr="002F10F7">
        <w:t xml:space="preserve">federal and state constitutions </w:t>
      </w:r>
      <w:r w:rsidR="00BE52AC" w:rsidRPr="002F10F7">
        <w:t>(e.g.</w:t>
      </w:r>
      <w:r w:rsidR="00FF77D5" w:rsidRPr="002F10F7">
        <w:t>,</w:t>
      </w:r>
      <w:r w:rsidR="00BE52AC" w:rsidRPr="002F10F7">
        <w:t xml:space="preserve"> when the declarant is unavailable </w:t>
      </w:r>
      <w:r w:rsidR="00A41934" w:rsidRPr="002F10F7">
        <w:t xml:space="preserve">and the hearsay </w:t>
      </w:r>
      <w:r w:rsidR="003D6925" w:rsidRPr="002F10F7">
        <w:t xml:space="preserve">is material, exculpatory and has sufficient </w:t>
      </w:r>
      <w:r w:rsidR="00EB420A" w:rsidRPr="002F10F7">
        <w:t>indicia of reliability</w:t>
      </w:r>
      <w:r w:rsidR="00326153" w:rsidRPr="002F10F7">
        <w:t>”</w:t>
      </w:r>
      <w:r w:rsidR="009B1E55" w:rsidRPr="002F10F7">
        <w:t xml:space="preserve"> (sub. [1]</w:t>
      </w:r>
      <w:r w:rsidR="00F708EB" w:rsidRPr="002F10F7">
        <w:t>[</w:t>
      </w:r>
      <w:r w:rsidR="00123C31" w:rsidRPr="002F10F7">
        <w:t>b]).</w:t>
      </w:r>
    </w:p>
    <w:p w14:paraId="2F1779B0" w14:textId="7CEBB613" w:rsidR="00BA0922" w:rsidRPr="002F10F7" w:rsidRDefault="00CF783B">
      <w:r w:rsidRPr="002F10F7">
        <w:t>If a statement is NOT offered for its truth</w:t>
      </w:r>
      <w:r w:rsidR="00C80598" w:rsidRPr="002F10F7">
        <w:t xml:space="preserve"> but, rather, for some other relevant purpose </w:t>
      </w:r>
      <w:r w:rsidR="00513BC7" w:rsidRPr="002F10F7">
        <w:t>(e.g.</w:t>
      </w:r>
      <w:r w:rsidR="00FF77D5" w:rsidRPr="002F10F7">
        <w:t>,</w:t>
      </w:r>
      <w:r w:rsidR="00513BC7" w:rsidRPr="002F10F7">
        <w:t xml:space="preserve"> </w:t>
      </w:r>
      <w:r w:rsidR="00470014" w:rsidRPr="002F10F7">
        <w:t>to show</w:t>
      </w:r>
      <w:r w:rsidR="00513BC7" w:rsidRPr="002F10F7">
        <w:t xml:space="preserve"> its effect </w:t>
      </w:r>
      <w:r w:rsidR="00EF517F" w:rsidRPr="002F10F7">
        <w:t>on</w:t>
      </w:r>
      <w:r w:rsidR="00513BC7" w:rsidRPr="002F10F7">
        <w:t xml:space="preserve"> the conduct of the listener), it is </w:t>
      </w:r>
      <w:r w:rsidR="007E6397" w:rsidRPr="002F10F7">
        <w:t>NOT barred by the hearsay rule</w:t>
      </w:r>
      <w:r w:rsidR="00F43CB9" w:rsidRPr="002F10F7">
        <w:t xml:space="preserve"> (</w:t>
      </w:r>
      <w:r w:rsidR="00F708EB" w:rsidRPr="002F10F7">
        <w:t>s</w:t>
      </w:r>
      <w:r w:rsidR="00F43CB9" w:rsidRPr="002F10F7">
        <w:t xml:space="preserve">ee, for example, </w:t>
      </w:r>
      <w:r w:rsidR="00F43CB9" w:rsidRPr="002F10F7">
        <w:rPr>
          <w:i/>
          <w:iCs/>
        </w:rPr>
        <w:t xml:space="preserve">People v </w:t>
      </w:r>
      <w:r w:rsidR="006C4CE8" w:rsidRPr="002F10F7">
        <w:rPr>
          <w:i/>
          <w:iCs/>
        </w:rPr>
        <w:t>Ricco</w:t>
      </w:r>
      <w:r w:rsidR="00F708EB" w:rsidRPr="002F10F7">
        <w:t>,</w:t>
      </w:r>
      <w:r w:rsidR="006C4CE8" w:rsidRPr="002F10F7">
        <w:t xml:space="preserve"> 56 NY</w:t>
      </w:r>
      <w:r w:rsidR="00F708EB" w:rsidRPr="002F10F7">
        <w:t>2</w:t>
      </w:r>
      <w:r w:rsidR="006C4CE8" w:rsidRPr="002F10F7">
        <w:t>d 32</w:t>
      </w:r>
      <w:r w:rsidR="00AD1DD4" w:rsidRPr="002F10F7">
        <w:t>0 [1982])</w:t>
      </w:r>
      <w:r w:rsidR="00CF00C3" w:rsidRPr="002F10F7">
        <w:t>. So</w:t>
      </w:r>
      <w:r w:rsidR="00631066" w:rsidRPr="002F10F7">
        <w:t xml:space="preserve">, whether a statement amounts to hearsay is determined not by its </w:t>
      </w:r>
      <w:r w:rsidR="002962CD" w:rsidRPr="002F10F7">
        <w:t>contents, but by the purpose for which it is offered.</w:t>
      </w:r>
    </w:p>
    <w:p w14:paraId="39EA904A" w14:textId="6B9D8911" w:rsidR="00BA3B30" w:rsidRPr="002F10F7" w:rsidRDefault="00BA3B30">
      <w:r w:rsidRPr="002F10F7">
        <w:t>STATE OF MIND</w:t>
      </w:r>
    </w:p>
    <w:p w14:paraId="15A04FCF" w14:textId="79B4DF46" w:rsidR="00AC3C02" w:rsidRPr="002F10F7" w:rsidRDefault="001F38FB">
      <w:r w:rsidRPr="002F10F7">
        <w:t xml:space="preserve">Sometimes, where a declarant’s </w:t>
      </w:r>
      <w:r w:rsidR="0075196A" w:rsidRPr="002F10F7">
        <w:t>expression of his</w:t>
      </w:r>
      <w:r w:rsidR="00180854" w:rsidRPr="002F10F7">
        <w:t>/her</w:t>
      </w:r>
      <w:r w:rsidR="0075196A" w:rsidRPr="002F10F7">
        <w:t xml:space="preserve"> state of mind</w:t>
      </w:r>
      <w:r w:rsidR="00AD0F62" w:rsidRPr="002F10F7">
        <w:t xml:space="preserve"> </w:t>
      </w:r>
      <w:r w:rsidR="0045748B" w:rsidRPr="002F10F7">
        <w:t>(</w:t>
      </w:r>
      <w:r w:rsidR="00AD0F62" w:rsidRPr="002F10F7">
        <w:t>e.g.</w:t>
      </w:r>
      <w:r w:rsidR="00FF77D5" w:rsidRPr="002F10F7">
        <w:t>,</w:t>
      </w:r>
      <w:r w:rsidR="00AD0F62" w:rsidRPr="002F10F7">
        <w:t xml:space="preserve"> </w:t>
      </w:r>
      <w:r w:rsidR="0045748B" w:rsidRPr="002F10F7">
        <w:t>anger, desire for revenge,</w:t>
      </w:r>
      <w:r w:rsidR="00387164" w:rsidRPr="002F10F7">
        <w:t xml:space="preserve"> feelings for another person) is relevant</w:t>
      </w:r>
      <w:r w:rsidR="008B0A94" w:rsidRPr="002F10F7">
        <w:t>,</w:t>
      </w:r>
      <w:r w:rsidR="00A13887" w:rsidRPr="002F10F7">
        <w:t xml:space="preserve"> </w:t>
      </w:r>
      <w:r w:rsidR="00FA3FCB" w:rsidRPr="002F10F7">
        <w:t xml:space="preserve">the statement may be admitted, not for </w:t>
      </w:r>
      <w:r w:rsidR="00206F14" w:rsidRPr="002F10F7">
        <w:t xml:space="preserve">its truth </w:t>
      </w:r>
      <w:r w:rsidR="00695036" w:rsidRPr="002F10F7">
        <w:t xml:space="preserve">but to show </w:t>
      </w:r>
      <w:r w:rsidR="00463CE9" w:rsidRPr="002F10F7">
        <w:t xml:space="preserve">circumstantially </w:t>
      </w:r>
      <w:r w:rsidR="00E00A67" w:rsidRPr="002F10F7">
        <w:t>hi</w:t>
      </w:r>
      <w:r w:rsidR="00E64595" w:rsidRPr="002F10F7">
        <w:t xml:space="preserve">s/her motive, intent </w:t>
      </w:r>
      <w:r w:rsidR="00DC0848" w:rsidRPr="002F10F7">
        <w:t xml:space="preserve">or to explain his/her conduct. </w:t>
      </w:r>
    </w:p>
    <w:p w14:paraId="2D7E9DA5" w14:textId="476E634B" w:rsidR="00DC0848" w:rsidRPr="002F10F7" w:rsidRDefault="00DC0848">
      <w:r w:rsidRPr="002F10F7">
        <w:t xml:space="preserve">For example, in </w:t>
      </w:r>
      <w:r w:rsidRPr="002F10F7">
        <w:rPr>
          <w:i/>
          <w:iCs/>
        </w:rPr>
        <w:t>People v Harris</w:t>
      </w:r>
      <w:r w:rsidRPr="002F10F7">
        <w:t xml:space="preserve"> </w:t>
      </w:r>
      <w:r w:rsidR="00680F4B" w:rsidRPr="002F10F7">
        <w:t>(</w:t>
      </w:r>
      <w:r w:rsidR="00CD1EF4" w:rsidRPr="002F10F7">
        <w:t>209 NY 70</w:t>
      </w:r>
      <w:r w:rsidR="00E156CB" w:rsidRPr="002F10F7">
        <w:t xml:space="preserve"> [1913])</w:t>
      </w:r>
      <w:r w:rsidR="00EA43EB" w:rsidRPr="002F10F7">
        <w:t>, where the defendant asserted the affirmative defense of extreme emotional disturbance</w:t>
      </w:r>
      <w:r w:rsidR="004F60DD" w:rsidRPr="002F10F7">
        <w:t xml:space="preserve"> (EED),</w:t>
      </w:r>
      <w:r w:rsidR="00FF1904" w:rsidRPr="002F10F7">
        <w:t xml:space="preserve"> it was proper for the trial court to permit the defendant to testify t</w:t>
      </w:r>
      <w:r w:rsidR="00A32620" w:rsidRPr="002F10F7">
        <w:t xml:space="preserve">o his wife’s telling him that </w:t>
      </w:r>
      <w:r w:rsidR="00205080" w:rsidRPr="002F10F7">
        <w:t xml:space="preserve">she was made pregnant by </w:t>
      </w:r>
      <w:r w:rsidR="00CB3548" w:rsidRPr="002F10F7">
        <w:t>another man to explain why he flew of</w:t>
      </w:r>
      <w:r w:rsidR="00363AF3" w:rsidRPr="002F10F7">
        <w:t xml:space="preserve">f </w:t>
      </w:r>
      <w:r w:rsidR="00CB3548" w:rsidRPr="002F10F7">
        <w:t xml:space="preserve">the handle and </w:t>
      </w:r>
      <w:r w:rsidR="002C02D7" w:rsidRPr="002F10F7">
        <w:t>shot her to death</w:t>
      </w:r>
      <w:r w:rsidR="006936B7" w:rsidRPr="002F10F7">
        <w:t xml:space="preserve">. Whether or not the </w:t>
      </w:r>
      <w:r w:rsidR="00CA687E" w:rsidRPr="002F10F7">
        <w:t xml:space="preserve">wife’s </w:t>
      </w:r>
      <w:r w:rsidR="00173708" w:rsidRPr="002F10F7">
        <w:t xml:space="preserve">revelation </w:t>
      </w:r>
      <w:r w:rsidR="006936B7" w:rsidRPr="002F10F7">
        <w:t xml:space="preserve">was true was immaterial since it was the </w:t>
      </w:r>
      <w:r w:rsidR="00065A27" w:rsidRPr="002F10F7">
        <w:t xml:space="preserve">defendant’s belief </w:t>
      </w:r>
      <w:r w:rsidR="00742DE8" w:rsidRPr="002F10F7">
        <w:t xml:space="preserve">that his wife had cheated that allegedly </w:t>
      </w:r>
      <w:r w:rsidR="00FB75D2" w:rsidRPr="002F10F7">
        <w:t>se</w:t>
      </w:r>
      <w:r w:rsidR="003D6CAA" w:rsidRPr="002F10F7">
        <w:t>nt him</w:t>
      </w:r>
      <w:r w:rsidR="00072EEC" w:rsidRPr="002F10F7">
        <w:t xml:space="preserve"> into </w:t>
      </w:r>
      <w:r w:rsidR="00F6210F" w:rsidRPr="002F10F7">
        <w:t xml:space="preserve">a state </w:t>
      </w:r>
      <w:r w:rsidR="00543092" w:rsidRPr="002F10F7">
        <w:t>of</w:t>
      </w:r>
      <w:r w:rsidR="005E6523" w:rsidRPr="002F10F7">
        <w:t xml:space="preserve"> </w:t>
      </w:r>
      <w:r w:rsidR="004F60DD" w:rsidRPr="002F10F7">
        <w:t xml:space="preserve">EED </w:t>
      </w:r>
      <w:r w:rsidR="00543092" w:rsidRPr="002F10F7">
        <w:t>(P</w:t>
      </w:r>
      <w:r w:rsidR="00F708EB" w:rsidRPr="002F10F7">
        <w:t xml:space="preserve">enal </w:t>
      </w:r>
      <w:r w:rsidR="00543092" w:rsidRPr="002F10F7">
        <w:t>L</w:t>
      </w:r>
      <w:r w:rsidR="00F708EB" w:rsidRPr="002F10F7">
        <w:t xml:space="preserve">aw </w:t>
      </w:r>
      <w:r w:rsidR="00F708EB" w:rsidRPr="002F10F7">
        <w:rPr>
          <w:rFonts w:ascii="Corbel" w:hAnsi="Corbel"/>
        </w:rPr>
        <w:t>§</w:t>
      </w:r>
      <w:r w:rsidR="00543092" w:rsidRPr="002F10F7">
        <w:t xml:space="preserve"> 125.25</w:t>
      </w:r>
      <w:r w:rsidR="004D315F" w:rsidRPr="002F10F7">
        <w:t>[1][a][</w:t>
      </w:r>
      <w:proofErr w:type="spellStart"/>
      <w:r w:rsidR="004D315F" w:rsidRPr="002F10F7">
        <w:t>i</w:t>
      </w:r>
      <w:proofErr w:type="spellEnd"/>
      <w:r w:rsidR="004D315F" w:rsidRPr="002F10F7">
        <w:t xml:space="preserve">]). </w:t>
      </w:r>
    </w:p>
    <w:p w14:paraId="2E86A0FA" w14:textId="51B66033" w:rsidR="0047442C" w:rsidRPr="002F10F7" w:rsidRDefault="007E21CF">
      <w:r w:rsidRPr="002F10F7">
        <w:t xml:space="preserve">And, in </w:t>
      </w:r>
      <w:proofErr w:type="spellStart"/>
      <w:r w:rsidRPr="002F10F7">
        <w:rPr>
          <w:i/>
          <w:iCs/>
        </w:rPr>
        <w:t>Loetsch</w:t>
      </w:r>
      <w:proofErr w:type="spellEnd"/>
      <w:r w:rsidRPr="002F10F7">
        <w:rPr>
          <w:i/>
          <w:iCs/>
        </w:rPr>
        <w:t xml:space="preserve"> v NYC </w:t>
      </w:r>
      <w:r w:rsidR="004A7C64" w:rsidRPr="002F10F7">
        <w:rPr>
          <w:i/>
          <w:iCs/>
        </w:rPr>
        <w:t>Omnibus Corp</w:t>
      </w:r>
      <w:r w:rsidR="004A7C64" w:rsidRPr="002F10F7">
        <w:t xml:space="preserve"> (</w:t>
      </w:r>
      <w:r w:rsidR="003513DC" w:rsidRPr="002F10F7">
        <w:t>291 NY 3</w:t>
      </w:r>
      <w:r w:rsidR="00D664DD" w:rsidRPr="002F10F7">
        <w:t>0</w:t>
      </w:r>
      <w:r w:rsidR="003513DC" w:rsidRPr="002F10F7">
        <w:t xml:space="preserve">8 [1943]), the Court of Appeals </w:t>
      </w:r>
      <w:r w:rsidR="00072EEC" w:rsidRPr="002F10F7">
        <w:t xml:space="preserve">held that it was </w:t>
      </w:r>
      <w:proofErr w:type="gramStart"/>
      <w:r w:rsidR="00072EEC" w:rsidRPr="002F10F7">
        <w:t>error</w:t>
      </w:r>
      <w:proofErr w:type="gramEnd"/>
      <w:r w:rsidR="00072EEC" w:rsidRPr="002F10F7">
        <w:t xml:space="preserve"> to exclude the will of </w:t>
      </w:r>
      <w:r w:rsidR="00920FC8" w:rsidRPr="002F10F7">
        <w:t>the decedent/wife who</w:t>
      </w:r>
      <w:r w:rsidR="00080DBD" w:rsidRPr="002F10F7">
        <w:t>, f</w:t>
      </w:r>
      <w:r w:rsidR="00EF4A69" w:rsidRPr="002F10F7">
        <w:t xml:space="preserve">our </w:t>
      </w:r>
      <w:r w:rsidR="00080DBD" w:rsidRPr="002F10F7">
        <w:t xml:space="preserve">months </w:t>
      </w:r>
      <w:r w:rsidR="00EF4A69" w:rsidRPr="002F10F7">
        <w:t xml:space="preserve">before her demise, </w:t>
      </w:r>
      <w:r w:rsidR="00920FC8" w:rsidRPr="002F10F7">
        <w:t>bequeathed her husband $1.00</w:t>
      </w:r>
      <w:r w:rsidR="00EF4A69" w:rsidRPr="002F10F7">
        <w:t xml:space="preserve">. In it she stated that </w:t>
      </w:r>
      <w:r w:rsidR="00D41B52" w:rsidRPr="002F10F7">
        <w:t xml:space="preserve">her husband </w:t>
      </w:r>
      <w:r w:rsidR="00280A22" w:rsidRPr="002F10F7">
        <w:t xml:space="preserve">had </w:t>
      </w:r>
      <w:r w:rsidR="00DC5D0D" w:rsidRPr="002F10F7">
        <w:t>reciprocated her tender affections with acts of cruelty and</w:t>
      </w:r>
      <w:r w:rsidR="00061065" w:rsidRPr="002F10F7">
        <w:t xml:space="preserve"> indifference and </w:t>
      </w:r>
      <w:r w:rsidR="0019005A" w:rsidRPr="002F10F7">
        <w:t>failed to support her</w:t>
      </w:r>
      <w:r w:rsidR="001866E2" w:rsidRPr="002F10F7">
        <w:t xml:space="preserve"> as he did himself</w:t>
      </w:r>
      <w:r w:rsidR="00CF3243" w:rsidRPr="002F10F7">
        <w:t xml:space="preserve">. </w:t>
      </w:r>
      <w:r w:rsidR="002E4F90" w:rsidRPr="002F10F7">
        <w:t xml:space="preserve">The contents were deemed admissible, not to </w:t>
      </w:r>
      <w:r w:rsidR="002E4F90" w:rsidRPr="002F10F7">
        <w:lastRenderedPageBreak/>
        <w:t xml:space="preserve">prove that the </w:t>
      </w:r>
      <w:r w:rsidR="00045D74" w:rsidRPr="002F10F7">
        <w:t>husband was a</w:t>
      </w:r>
      <w:r w:rsidR="00C52F8C" w:rsidRPr="002F10F7">
        <w:t xml:space="preserve"> cold, mean and stingy lout, but to show t</w:t>
      </w:r>
      <w:r w:rsidR="008D5F1C" w:rsidRPr="002F10F7">
        <w:t xml:space="preserve">he </w:t>
      </w:r>
      <w:r w:rsidR="00EC3FB9" w:rsidRPr="002F10F7">
        <w:t xml:space="preserve">state of their relationship from the deceased’s point of view. </w:t>
      </w:r>
      <w:r w:rsidR="00DA7D91" w:rsidRPr="002F10F7">
        <w:t>As the Court observed, “</w:t>
      </w:r>
      <w:r w:rsidR="002F135D" w:rsidRPr="002F10F7">
        <w:t xml:space="preserve">it is always proper to make proof </w:t>
      </w:r>
      <w:r w:rsidR="007F5F1C" w:rsidRPr="002F10F7">
        <w:t xml:space="preserve">of the relations between the decedent to the person for whose benefit </w:t>
      </w:r>
      <w:r w:rsidR="003B3116" w:rsidRPr="002F10F7">
        <w:t xml:space="preserve">the action is maintained, because such proof has a bearing upon </w:t>
      </w:r>
      <w:r w:rsidR="00225EEF" w:rsidRPr="002F10F7">
        <w:t>the pecuniary loss suffered by the person entitled to the recovery</w:t>
      </w:r>
      <w:r w:rsidR="007A0683" w:rsidRPr="002F10F7">
        <w:t>, …whet</w:t>
      </w:r>
      <w:r w:rsidR="00830136" w:rsidRPr="002F10F7">
        <w:t>her</w:t>
      </w:r>
      <w:r w:rsidR="0068408D" w:rsidRPr="002F10F7">
        <w:t xml:space="preserve"> </w:t>
      </w:r>
      <w:r w:rsidR="007A0683" w:rsidRPr="002F10F7">
        <w:t xml:space="preserve">the beneficiary is </w:t>
      </w:r>
      <w:r w:rsidR="009164DF" w:rsidRPr="002F10F7">
        <w:t xml:space="preserve">the surviving husband or wife or </w:t>
      </w:r>
      <w:r w:rsidR="004A13B9" w:rsidRPr="002F10F7">
        <w:t xml:space="preserve">one </w:t>
      </w:r>
      <w:r w:rsidR="00ED6D47" w:rsidRPr="002F10F7">
        <w:t xml:space="preserve">or </w:t>
      </w:r>
      <w:r w:rsidR="009164DF" w:rsidRPr="002F10F7">
        <w:t xml:space="preserve">more of the next of </w:t>
      </w:r>
      <w:r w:rsidR="00F12D1A" w:rsidRPr="002F10F7">
        <w:t>kin</w:t>
      </w:r>
      <w:r w:rsidR="00F708EB" w:rsidRPr="002F10F7">
        <w:t>”</w:t>
      </w:r>
      <w:r w:rsidR="00F12D1A" w:rsidRPr="002F10F7">
        <w:t xml:space="preserve"> (</w:t>
      </w:r>
      <w:r w:rsidR="00F708EB" w:rsidRPr="002F10F7">
        <w:t>c</w:t>
      </w:r>
      <w:r w:rsidR="00F12D1A" w:rsidRPr="002F10F7">
        <w:t xml:space="preserve">iting, inter alia, </w:t>
      </w:r>
      <w:r w:rsidR="00F12D1A" w:rsidRPr="002F10F7">
        <w:rPr>
          <w:i/>
          <w:iCs/>
        </w:rPr>
        <w:t xml:space="preserve">Murphy v </w:t>
      </w:r>
      <w:r w:rsidR="00011D43" w:rsidRPr="002F10F7">
        <w:rPr>
          <w:i/>
          <w:iCs/>
        </w:rPr>
        <w:t>Erie RR Co</w:t>
      </w:r>
      <w:r w:rsidR="00011D43" w:rsidRPr="002F10F7">
        <w:t xml:space="preserve">., 202 NY </w:t>
      </w:r>
      <w:r w:rsidR="005127AD" w:rsidRPr="002F10F7">
        <w:t>242 [</w:t>
      </w:r>
      <w:r w:rsidR="003F73CE" w:rsidRPr="002F10F7">
        <w:t>1911]).</w:t>
      </w:r>
    </w:p>
    <w:p w14:paraId="2753970E" w14:textId="118EEB47" w:rsidR="0050466F" w:rsidRPr="002F10F7" w:rsidRDefault="001717AF">
      <w:r w:rsidRPr="002F10F7">
        <w:t>PRESENT STATE OF MIND NOT PAST FACTS</w:t>
      </w:r>
    </w:p>
    <w:p w14:paraId="32E4AC01" w14:textId="5C9567BB" w:rsidR="001717AF" w:rsidRPr="002F10F7" w:rsidRDefault="001717AF">
      <w:r w:rsidRPr="002F10F7">
        <w:t xml:space="preserve">While </w:t>
      </w:r>
      <w:r w:rsidR="00226462" w:rsidRPr="002F10F7">
        <w:t xml:space="preserve">a </w:t>
      </w:r>
      <w:r w:rsidR="007B5D14" w:rsidRPr="002F10F7">
        <w:t xml:space="preserve">defendant’s statement </w:t>
      </w:r>
      <w:r w:rsidR="00226462" w:rsidRPr="002F10F7">
        <w:t xml:space="preserve">may be admitted </w:t>
      </w:r>
      <w:proofErr w:type="gramStart"/>
      <w:r w:rsidR="00226462" w:rsidRPr="002F10F7">
        <w:t>to prove</w:t>
      </w:r>
      <w:proofErr w:type="gramEnd"/>
      <w:r w:rsidR="00226462" w:rsidRPr="002F10F7">
        <w:t xml:space="preserve"> his/her state of mind when the statement was made</w:t>
      </w:r>
      <w:r w:rsidR="00E96791" w:rsidRPr="002F10F7">
        <w:t xml:space="preserve">, they may not be let in </w:t>
      </w:r>
      <w:r w:rsidR="00562B80" w:rsidRPr="002F10F7">
        <w:t xml:space="preserve">to establish the truth of </w:t>
      </w:r>
      <w:r w:rsidR="0063697E" w:rsidRPr="002F10F7">
        <w:t xml:space="preserve">the facts contained within them. For example, in </w:t>
      </w:r>
      <w:r w:rsidR="0063697E" w:rsidRPr="002F10F7">
        <w:rPr>
          <w:i/>
          <w:iCs/>
        </w:rPr>
        <w:t>People v Reynoso</w:t>
      </w:r>
      <w:r w:rsidR="0063697E" w:rsidRPr="002F10F7">
        <w:t xml:space="preserve"> (</w:t>
      </w:r>
      <w:r w:rsidR="00656928" w:rsidRPr="002F10F7">
        <w:t>73 NY2d 816 [</w:t>
      </w:r>
      <w:r w:rsidR="00706E3F" w:rsidRPr="002F10F7">
        <w:t xml:space="preserve">1988]), </w:t>
      </w:r>
      <w:r w:rsidR="00911323" w:rsidRPr="002F10F7">
        <w:t xml:space="preserve">the defendant’s </w:t>
      </w:r>
      <w:r w:rsidR="00007788" w:rsidRPr="002F10F7">
        <w:t xml:space="preserve">claim made to </w:t>
      </w:r>
      <w:r w:rsidR="00061065" w:rsidRPr="002F10F7">
        <w:t>his sister</w:t>
      </w:r>
      <w:r w:rsidR="00007788" w:rsidRPr="002F10F7">
        <w:t xml:space="preserve"> two ho</w:t>
      </w:r>
      <w:r w:rsidR="00081E73" w:rsidRPr="002F10F7">
        <w:t xml:space="preserve">urs after the killing that he’d thought the victim </w:t>
      </w:r>
      <w:r w:rsidR="00FC622A" w:rsidRPr="002F10F7">
        <w:t>was armed was deemed to be inadmissible hearsay.</w:t>
      </w:r>
    </w:p>
    <w:p w14:paraId="1EB1EA00" w14:textId="4FB7C42E" w:rsidR="00FC622A" w:rsidRPr="002F10F7" w:rsidRDefault="00FC622A">
      <w:r w:rsidRPr="002F10F7">
        <w:t>NY ADVI</w:t>
      </w:r>
      <w:r w:rsidR="00D55B1F" w:rsidRPr="002F10F7">
        <w:t>SORY</w:t>
      </w:r>
      <w:r w:rsidRPr="002F10F7">
        <w:t xml:space="preserve"> RULE 8.</w:t>
      </w:r>
      <w:r w:rsidR="00015A14" w:rsidRPr="002F10F7">
        <w:t>41</w:t>
      </w:r>
    </w:p>
    <w:p w14:paraId="57EDFD90" w14:textId="6DF75C81" w:rsidR="00BD4946" w:rsidRPr="002F10F7" w:rsidRDefault="00270CDB" w:rsidP="005944A9">
      <w:pPr>
        <w:pStyle w:val="ListParagraph"/>
        <w:numPr>
          <w:ilvl w:val="0"/>
          <w:numId w:val="1"/>
        </w:numPr>
      </w:pPr>
      <w:r w:rsidRPr="002F10F7">
        <w:t>An ou</w:t>
      </w:r>
      <w:r w:rsidR="00591778" w:rsidRPr="002F10F7">
        <w:t>t</w:t>
      </w:r>
      <w:r w:rsidRPr="002F10F7">
        <w:t xml:space="preserve">-of-court statement </w:t>
      </w:r>
      <w:r w:rsidR="00591778" w:rsidRPr="002F10F7">
        <w:t xml:space="preserve">by a declarant describing </w:t>
      </w:r>
      <w:r w:rsidR="000D004C" w:rsidRPr="002F10F7">
        <w:t>his/her state of mind AT THE TIME SUCH STATEMENT WAS MADE</w:t>
      </w:r>
      <w:r w:rsidR="00D664DD" w:rsidRPr="002F10F7">
        <w:t>,</w:t>
      </w:r>
      <w:r w:rsidR="000D004C" w:rsidRPr="002F10F7">
        <w:t xml:space="preserve"> </w:t>
      </w:r>
      <w:r w:rsidR="00463FD7" w:rsidRPr="002F10F7">
        <w:t xml:space="preserve">such as intent, </w:t>
      </w:r>
      <w:proofErr w:type="gramStart"/>
      <w:r w:rsidR="00463FD7" w:rsidRPr="002F10F7">
        <w:t>m</w:t>
      </w:r>
      <w:r w:rsidR="003F684D" w:rsidRPr="002F10F7">
        <w:t>otive</w:t>
      </w:r>
      <w:proofErr w:type="gramEnd"/>
      <w:r w:rsidR="003F684D" w:rsidRPr="002F10F7">
        <w:t xml:space="preserve"> or mental condition and feeling</w:t>
      </w:r>
      <w:r w:rsidR="00156F1C" w:rsidRPr="002F10F7">
        <w:t xml:space="preserve"> (but not including </w:t>
      </w:r>
      <w:r w:rsidR="008B078B" w:rsidRPr="002F10F7">
        <w:t xml:space="preserve">a statement of memory or belief </w:t>
      </w:r>
      <w:r w:rsidR="007A336E" w:rsidRPr="002F10F7">
        <w:t>to prove the fact remembered or believed)</w:t>
      </w:r>
      <w:r w:rsidR="00106541" w:rsidRPr="002F10F7">
        <w:t xml:space="preserve"> </w:t>
      </w:r>
      <w:r w:rsidR="002469B2" w:rsidRPr="002F10F7">
        <w:t xml:space="preserve">is ADMISSIBLE </w:t>
      </w:r>
      <w:r w:rsidR="004A27E4" w:rsidRPr="002F10F7">
        <w:t>even though the declarant is available as</w:t>
      </w:r>
      <w:r w:rsidR="00346C1A" w:rsidRPr="002F10F7">
        <w:t xml:space="preserve"> a</w:t>
      </w:r>
      <w:r w:rsidR="004A27E4" w:rsidRPr="002F10F7">
        <w:t xml:space="preserve"> witnes</w:t>
      </w:r>
      <w:r w:rsidR="00374D7F" w:rsidRPr="002F10F7">
        <w:t>s (</w:t>
      </w:r>
      <w:r w:rsidR="00D664DD" w:rsidRPr="002F10F7">
        <w:t>s</w:t>
      </w:r>
      <w:r w:rsidR="00374D7F" w:rsidRPr="002F10F7">
        <w:t xml:space="preserve">ee </w:t>
      </w:r>
      <w:r w:rsidR="00374D7F" w:rsidRPr="002F10F7">
        <w:rPr>
          <w:i/>
          <w:iCs/>
        </w:rPr>
        <w:t>People v Vasquez</w:t>
      </w:r>
      <w:r w:rsidR="00374D7F" w:rsidRPr="002F10F7">
        <w:t xml:space="preserve">, </w:t>
      </w:r>
      <w:r w:rsidR="00663CBC" w:rsidRPr="002F10F7">
        <w:t xml:space="preserve">88 NY2d 561 [1996]). </w:t>
      </w:r>
    </w:p>
    <w:p w14:paraId="2FF36FBF" w14:textId="145263A2" w:rsidR="006D68C7" w:rsidRPr="002F10F7" w:rsidRDefault="00E106A1" w:rsidP="006D68C7">
      <w:pPr>
        <w:pStyle w:val="ListParagraph"/>
        <w:numPr>
          <w:ilvl w:val="0"/>
          <w:numId w:val="1"/>
        </w:numPr>
      </w:pPr>
      <w:r w:rsidRPr="002F10F7">
        <w:t xml:space="preserve">An out-of-court statement </w:t>
      </w:r>
      <w:r w:rsidR="00414CBC" w:rsidRPr="002F10F7">
        <w:t xml:space="preserve">of a declarant </w:t>
      </w:r>
      <w:r w:rsidR="00ED3DB6" w:rsidRPr="002F10F7">
        <w:t>which is heard by another may be admissible to establish the hearer’s state of mind on hearing the declaration (i.e., a non-hearsay purpose).</w:t>
      </w:r>
    </w:p>
    <w:p w14:paraId="77F7D22A" w14:textId="65BF4E2E" w:rsidR="00F66BED" w:rsidRPr="002F10F7" w:rsidRDefault="00F66BED" w:rsidP="00F66BED"/>
    <w:p w14:paraId="7727336B" w14:textId="009E1938" w:rsidR="00F66BED" w:rsidRPr="002F10F7" w:rsidRDefault="00A33B3E" w:rsidP="00F66BED">
      <w:r w:rsidRPr="002F10F7">
        <w:t>CONFRONTATION CLAUSE</w:t>
      </w:r>
    </w:p>
    <w:p w14:paraId="4C3A1C13" w14:textId="6809D6C9" w:rsidR="00A33B3E" w:rsidRPr="002F10F7" w:rsidRDefault="00A33B3E" w:rsidP="00F66BED">
      <w:r w:rsidRPr="002F10F7">
        <w:t xml:space="preserve">When considering whether a particular statement falls into </w:t>
      </w:r>
      <w:r w:rsidR="002C4F84" w:rsidRPr="002F10F7">
        <w:t xml:space="preserve">a hearsay exception, counsel should also be mindful of the </w:t>
      </w:r>
      <w:r w:rsidR="002B6186" w:rsidRPr="002F10F7">
        <w:t>Confrontation Clause</w:t>
      </w:r>
      <w:r w:rsidR="002C4F84" w:rsidRPr="002F10F7">
        <w:t xml:space="preserve"> of the Sixth Amendment which preludes the admission of testimonial hearsay </w:t>
      </w:r>
      <w:r w:rsidR="00CC2A2B" w:rsidRPr="002F10F7">
        <w:t xml:space="preserve">from a witness </w:t>
      </w:r>
      <w:r w:rsidR="00B8772D" w:rsidRPr="002F10F7">
        <w:t xml:space="preserve">who </w:t>
      </w:r>
      <w:r w:rsidR="005A4DA3" w:rsidRPr="002F10F7">
        <w:t xml:space="preserve">does not </w:t>
      </w:r>
      <w:r w:rsidR="00B8772D" w:rsidRPr="002F10F7">
        <w:t>qualify as unavailable (e.g.</w:t>
      </w:r>
      <w:r w:rsidR="00FF77D5" w:rsidRPr="002F10F7">
        <w:t>,</w:t>
      </w:r>
      <w:r w:rsidR="00B8772D" w:rsidRPr="002F10F7">
        <w:t xml:space="preserve"> dead, gone or who </w:t>
      </w:r>
      <w:r w:rsidR="00BC2C2A" w:rsidRPr="002F10F7">
        <w:t>“</w:t>
      </w:r>
      <w:r w:rsidR="00B8772D" w:rsidRPr="002F10F7">
        <w:t xml:space="preserve">pleads the </w:t>
      </w:r>
      <w:r w:rsidR="00C43AE3" w:rsidRPr="002F10F7">
        <w:t xml:space="preserve">fifth”), and against who there was no prior opportunity for cross examination. </w:t>
      </w:r>
      <w:r w:rsidR="00A73EFB" w:rsidRPr="002F10F7">
        <w:t>Such statements, if offered for their truth</w:t>
      </w:r>
      <w:r w:rsidR="003E1E6C" w:rsidRPr="002F10F7">
        <w:t>, are INADMISSBLE (</w:t>
      </w:r>
      <w:proofErr w:type="gramStart"/>
      <w:r w:rsidR="003E1E6C" w:rsidRPr="002F10F7">
        <w:t>whether or not</w:t>
      </w:r>
      <w:proofErr w:type="gramEnd"/>
      <w:r w:rsidR="003E1E6C" w:rsidRPr="002F10F7">
        <w:t xml:space="preserve"> they meet some exception) because the </w:t>
      </w:r>
      <w:r w:rsidR="009D2826" w:rsidRPr="002F10F7">
        <w:t xml:space="preserve">defendant </w:t>
      </w:r>
      <w:r w:rsidR="00DC1A89" w:rsidRPr="002F10F7">
        <w:t>is deprived of the opportunity to cross examine the declarant (</w:t>
      </w:r>
      <w:r w:rsidR="00680722" w:rsidRPr="002F10F7">
        <w:t>s</w:t>
      </w:r>
      <w:r w:rsidR="00DC1A89" w:rsidRPr="002F10F7">
        <w:t xml:space="preserve">ee </w:t>
      </w:r>
      <w:r w:rsidR="00DC1A89" w:rsidRPr="002F10F7">
        <w:rPr>
          <w:i/>
          <w:iCs/>
        </w:rPr>
        <w:t>Crawford v Washington</w:t>
      </w:r>
      <w:r w:rsidR="00DC1A89" w:rsidRPr="002F10F7">
        <w:t xml:space="preserve">, </w:t>
      </w:r>
      <w:r w:rsidR="004B69F6" w:rsidRPr="002F10F7">
        <w:t>541 US 36 [2004]).</w:t>
      </w:r>
    </w:p>
    <w:p w14:paraId="0CC37523" w14:textId="41548714" w:rsidR="004B69F6" w:rsidRPr="002F10F7" w:rsidRDefault="00036EC0" w:rsidP="00F66BED">
      <w:r w:rsidRPr="002F10F7">
        <w:t xml:space="preserve">As stated in Advisory Rule </w:t>
      </w:r>
      <w:r w:rsidR="00A624A5" w:rsidRPr="002F10F7">
        <w:t xml:space="preserve">8.41 (1), </w:t>
      </w:r>
      <w:r w:rsidR="0068408D" w:rsidRPr="002F10F7">
        <w:t xml:space="preserve">“in </w:t>
      </w:r>
      <w:r w:rsidR="005F15EA" w:rsidRPr="002F10F7">
        <w:t xml:space="preserve">a criminal prosecution, </w:t>
      </w:r>
      <w:r w:rsidR="0032425B" w:rsidRPr="002F10F7">
        <w:t xml:space="preserve">a </w:t>
      </w:r>
      <w:r w:rsidR="00E916C7" w:rsidRPr="002F10F7">
        <w:t>TESTIMONIAL</w:t>
      </w:r>
      <w:r w:rsidR="0032425B" w:rsidRPr="002F10F7">
        <w:t xml:space="preserve"> statement of a </w:t>
      </w:r>
      <w:r w:rsidR="009A78B6" w:rsidRPr="002F10F7">
        <w:t>person who does not testify at trial is NOT ADMISSIBLE</w:t>
      </w:r>
      <w:r w:rsidR="00E916C7" w:rsidRPr="002F10F7">
        <w:t xml:space="preserve"> against a defendant </w:t>
      </w:r>
      <w:r w:rsidR="001F41B1" w:rsidRPr="002F10F7">
        <w:t xml:space="preserve">for its truth </w:t>
      </w:r>
      <w:r w:rsidR="00354C18" w:rsidRPr="002F10F7">
        <w:t xml:space="preserve">unless the witness is </w:t>
      </w:r>
      <w:r w:rsidR="00EC2996" w:rsidRPr="002F10F7">
        <w:t>UNAVAIL</w:t>
      </w:r>
      <w:r w:rsidR="005A4DA3" w:rsidRPr="002F10F7">
        <w:t>ABLE</w:t>
      </w:r>
      <w:r w:rsidR="00354C18" w:rsidRPr="002F10F7">
        <w:t xml:space="preserve"> to testify </w:t>
      </w:r>
      <w:r w:rsidR="00EC2996" w:rsidRPr="002F10F7">
        <w:t xml:space="preserve">and </w:t>
      </w:r>
      <w:r w:rsidR="0068408D" w:rsidRPr="002F10F7">
        <w:t xml:space="preserve">the defendant had a PRIOR OPPORTUNITY </w:t>
      </w:r>
      <w:r w:rsidR="006658A1" w:rsidRPr="002F10F7">
        <w:t xml:space="preserve">FOR CROSS EXAMINATION, or the defendant </w:t>
      </w:r>
      <w:r w:rsidR="005C1880" w:rsidRPr="002F10F7">
        <w:t>ENG</w:t>
      </w:r>
      <w:r w:rsidR="00C06DE6" w:rsidRPr="002F10F7">
        <w:t>AGED</w:t>
      </w:r>
      <w:r w:rsidR="005C1880" w:rsidRPr="002F10F7">
        <w:t xml:space="preserve"> OR ACQUIESCED IN WRONGDOING </w:t>
      </w:r>
      <w:r w:rsidR="00705A27" w:rsidRPr="002F10F7">
        <w:t xml:space="preserve">that was intended to and did </w:t>
      </w:r>
      <w:r w:rsidR="009E4367" w:rsidRPr="002F10F7">
        <w:t xml:space="preserve">procure the unavailability of the witness. </w:t>
      </w:r>
    </w:p>
    <w:p w14:paraId="1A6557EB" w14:textId="5354424F" w:rsidR="00941437" w:rsidRPr="002F10F7" w:rsidRDefault="00941437" w:rsidP="00941437">
      <w:pPr>
        <w:pStyle w:val="ListParagraph"/>
        <w:numPr>
          <w:ilvl w:val="0"/>
          <w:numId w:val="1"/>
        </w:numPr>
      </w:pPr>
      <w:r w:rsidRPr="002F10F7">
        <w:t xml:space="preserve">A TESTIMONIAL STATEMENT consists </w:t>
      </w:r>
      <w:r w:rsidR="009C2580" w:rsidRPr="002F10F7">
        <w:t xml:space="preserve">of: </w:t>
      </w:r>
    </w:p>
    <w:p w14:paraId="59201364" w14:textId="666219F4" w:rsidR="00941437" w:rsidRPr="002F10F7" w:rsidRDefault="00720C09" w:rsidP="00720C09">
      <w:pPr>
        <w:pStyle w:val="ListParagraph"/>
        <w:numPr>
          <w:ilvl w:val="0"/>
          <w:numId w:val="2"/>
        </w:numPr>
      </w:pPr>
      <w:r w:rsidRPr="002F10F7">
        <w:t xml:space="preserve">PRIOR TESTIMONY </w:t>
      </w:r>
      <w:r w:rsidR="009C2580" w:rsidRPr="002F10F7">
        <w:t>at a F</w:t>
      </w:r>
      <w:r w:rsidR="00AF3780" w:rsidRPr="002F10F7">
        <w:t xml:space="preserve">ELONY HEARING, before a GRAND JURY </w:t>
      </w:r>
      <w:r w:rsidR="00A50F27" w:rsidRPr="002F10F7">
        <w:t>or at a FORMER TRIAL</w:t>
      </w:r>
      <w:r w:rsidR="00E96BB1" w:rsidRPr="002F10F7">
        <w:t>; or</w:t>
      </w:r>
    </w:p>
    <w:p w14:paraId="60521BE6" w14:textId="77777777" w:rsidR="0061346F" w:rsidRPr="002F10F7" w:rsidRDefault="00E96BB1" w:rsidP="00720C09">
      <w:pPr>
        <w:pStyle w:val="ListParagraph"/>
        <w:numPr>
          <w:ilvl w:val="0"/>
          <w:numId w:val="2"/>
        </w:numPr>
      </w:pPr>
      <w:r w:rsidRPr="002F10F7">
        <w:t xml:space="preserve">An out-of-court statement </w:t>
      </w:r>
      <w:r w:rsidR="006912B2" w:rsidRPr="002F10F7">
        <w:t xml:space="preserve">in </w:t>
      </w:r>
      <w:r w:rsidR="008F247D" w:rsidRPr="002F10F7">
        <w:t>which</w:t>
      </w:r>
      <w:r w:rsidR="0061346F" w:rsidRPr="002F10F7">
        <w:t>:</w:t>
      </w:r>
    </w:p>
    <w:p w14:paraId="68BDA610" w14:textId="0A6EA82D" w:rsidR="0061346F" w:rsidRPr="002F10F7" w:rsidRDefault="00194CBF" w:rsidP="0061346F">
      <w:pPr>
        <w:pStyle w:val="ListParagraph"/>
        <w:numPr>
          <w:ilvl w:val="0"/>
          <w:numId w:val="3"/>
        </w:numPr>
      </w:pPr>
      <w:r w:rsidRPr="002F10F7">
        <w:t xml:space="preserve">STATE ACTORS </w:t>
      </w:r>
      <w:r w:rsidR="00776E58" w:rsidRPr="002F10F7">
        <w:t xml:space="preserve">are involved </w:t>
      </w:r>
      <w:r w:rsidR="0050737E" w:rsidRPr="002F10F7">
        <w:t>IN</w:t>
      </w:r>
      <w:r w:rsidR="0061346F" w:rsidRPr="002F10F7">
        <w:t xml:space="preserve"> A </w:t>
      </w:r>
      <w:r w:rsidR="000F477A" w:rsidRPr="002F10F7">
        <w:t xml:space="preserve">FORMAL, </w:t>
      </w:r>
      <w:r w:rsidR="00776E58" w:rsidRPr="002F10F7">
        <w:t>OUT</w:t>
      </w:r>
      <w:r w:rsidR="003929FC" w:rsidRPr="002F10F7">
        <w:t>-</w:t>
      </w:r>
      <w:r w:rsidR="00776E58" w:rsidRPr="002F10F7">
        <w:t xml:space="preserve">OF-COURT INTERROGATION </w:t>
      </w:r>
      <w:r w:rsidR="00047C81" w:rsidRPr="002F10F7">
        <w:t xml:space="preserve">of a witness to OBTAIN EVIDENCE </w:t>
      </w:r>
      <w:r w:rsidR="007776AB" w:rsidRPr="002F10F7">
        <w:t>FOR TRI</w:t>
      </w:r>
      <w:r w:rsidR="003929FC" w:rsidRPr="002F10F7">
        <w:t>AL</w:t>
      </w:r>
      <w:r w:rsidR="008165A8" w:rsidRPr="002F10F7">
        <w:t>; or</w:t>
      </w:r>
    </w:p>
    <w:p w14:paraId="5C8A85EC" w14:textId="05A7F21B" w:rsidR="00E96BB1" w:rsidRPr="002F10F7" w:rsidRDefault="00C545CD" w:rsidP="00C545CD">
      <w:pPr>
        <w:pStyle w:val="ListParagraph"/>
        <w:numPr>
          <w:ilvl w:val="0"/>
          <w:numId w:val="3"/>
        </w:numPr>
      </w:pPr>
      <w:r w:rsidRPr="002F10F7">
        <w:lastRenderedPageBreak/>
        <w:t xml:space="preserve">Absent a formal interrogation, </w:t>
      </w:r>
      <w:r w:rsidR="00B95C64" w:rsidRPr="002F10F7">
        <w:t xml:space="preserve">the circumstances demonstrate </w:t>
      </w:r>
      <w:r w:rsidR="00812F15" w:rsidRPr="002F10F7">
        <w:t xml:space="preserve">that the PRIMARY PURPOSE </w:t>
      </w:r>
      <w:r w:rsidR="00CA6370" w:rsidRPr="002F10F7">
        <w:t xml:space="preserve">of an exchange </w:t>
      </w:r>
      <w:r w:rsidR="009E4A94" w:rsidRPr="002F10F7">
        <w:t xml:space="preserve">was to PROCURE an </w:t>
      </w:r>
      <w:r w:rsidR="00900C56" w:rsidRPr="002F10F7">
        <w:t>out</w:t>
      </w:r>
      <w:r w:rsidR="009E4A94" w:rsidRPr="002F10F7">
        <w:t xml:space="preserve">-of-court statement </w:t>
      </w:r>
      <w:r w:rsidR="00900C56" w:rsidRPr="002F10F7">
        <w:t xml:space="preserve">to PROVE CRIMINAL CONDUCT </w:t>
      </w:r>
      <w:r w:rsidR="00187723" w:rsidRPr="002F10F7">
        <w:t xml:space="preserve">or PAST EVENTS </w:t>
      </w:r>
      <w:r w:rsidR="00C82780" w:rsidRPr="002F10F7">
        <w:t xml:space="preserve">potentially relevant to a </w:t>
      </w:r>
      <w:r w:rsidR="00CF231C" w:rsidRPr="002F10F7">
        <w:t xml:space="preserve">later criminal prosecution </w:t>
      </w:r>
      <w:r w:rsidR="00BA52C5" w:rsidRPr="002F10F7">
        <w:t xml:space="preserve">or otherwise substitute for trial testimony. </w:t>
      </w:r>
    </w:p>
    <w:p w14:paraId="16FFA70A" w14:textId="33612F86" w:rsidR="00BB5033" w:rsidRPr="002F10F7" w:rsidRDefault="00BB5033" w:rsidP="00BB5033"/>
    <w:p w14:paraId="3268F41C" w14:textId="4F37A1E5" w:rsidR="00BB5033" w:rsidRPr="002F10F7" w:rsidRDefault="00BB5033" w:rsidP="00BB5033">
      <w:r w:rsidRPr="002F10F7">
        <w:t xml:space="preserve">Pursuant to subdivision 3, </w:t>
      </w:r>
      <w:r w:rsidR="00CB323B" w:rsidRPr="002F10F7">
        <w:t xml:space="preserve">a statement will not be considered testimonial </w:t>
      </w:r>
      <w:r w:rsidR="0052387D" w:rsidRPr="002F10F7">
        <w:t xml:space="preserve">if it is made </w:t>
      </w:r>
      <w:r w:rsidR="00854813" w:rsidRPr="002F10F7">
        <w:t xml:space="preserve">in connection with a police investigation </w:t>
      </w:r>
      <w:r w:rsidR="005F41D7" w:rsidRPr="002F10F7">
        <w:t xml:space="preserve">under circumstances OBJECTIVELY INDICATING </w:t>
      </w:r>
      <w:r w:rsidR="00124F38" w:rsidRPr="002F10F7">
        <w:t xml:space="preserve">that the PRIMARY PURPOSE </w:t>
      </w:r>
      <w:r w:rsidR="00A149B1" w:rsidRPr="002F10F7">
        <w:t xml:space="preserve">of the interrogation is to </w:t>
      </w:r>
      <w:r w:rsidR="00A00140" w:rsidRPr="002F10F7">
        <w:t xml:space="preserve">ENABLE POLICE ASSISTANCE </w:t>
      </w:r>
      <w:r w:rsidR="00FD5DEE" w:rsidRPr="002F10F7">
        <w:t>TO MEET AN ONGOING EMERGENCY</w:t>
      </w:r>
      <w:r w:rsidR="001C5D7C" w:rsidRPr="002F10F7">
        <w:t xml:space="preserve"> (</w:t>
      </w:r>
      <w:r w:rsidR="00680722" w:rsidRPr="002F10F7">
        <w:t>s</w:t>
      </w:r>
      <w:r w:rsidR="001C5D7C" w:rsidRPr="002F10F7">
        <w:t xml:space="preserve">ee </w:t>
      </w:r>
      <w:r w:rsidR="00C279CB" w:rsidRPr="002F10F7">
        <w:rPr>
          <w:i/>
          <w:iCs/>
        </w:rPr>
        <w:t>Davis v Washington</w:t>
      </w:r>
      <w:r w:rsidR="00C279CB" w:rsidRPr="002F10F7">
        <w:t xml:space="preserve">, </w:t>
      </w:r>
      <w:r w:rsidR="00E8433A" w:rsidRPr="002F10F7">
        <w:t>547 US 815 [2006]</w:t>
      </w:r>
      <w:r w:rsidR="00894B19" w:rsidRPr="002F10F7">
        <w:t xml:space="preserve">, </w:t>
      </w:r>
      <w:r w:rsidR="00894B19" w:rsidRPr="002F10F7">
        <w:rPr>
          <w:i/>
          <w:iCs/>
        </w:rPr>
        <w:t>People v Nieves-Andino</w:t>
      </w:r>
      <w:r w:rsidR="00894B19" w:rsidRPr="002F10F7">
        <w:t xml:space="preserve">, </w:t>
      </w:r>
      <w:r w:rsidR="00001202" w:rsidRPr="002F10F7">
        <w:t>9 NY3d 12 [2007]</w:t>
      </w:r>
      <w:r w:rsidR="00EA45AB" w:rsidRPr="002F10F7">
        <w:t xml:space="preserve">, </w:t>
      </w:r>
      <w:r w:rsidR="00EA45AB" w:rsidRPr="002F10F7">
        <w:rPr>
          <w:i/>
          <w:iCs/>
        </w:rPr>
        <w:t>People v Bradley</w:t>
      </w:r>
      <w:r w:rsidR="00EA45AB" w:rsidRPr="002F10F7">
        <w:t xml:space="preserve">, </w:t>
      </w:r>
      <w:r w:rsidR="009251DB" w:rsidRPr="002F10F7">
        <w:t>8 NY3d 124 [2</w:t>
      </w:r>
      <w:r w:rsidR="00680722" w:rsidRPr="002F10F7">
        <w:t>0</w:t>
      </w:r>
      <w:r w:rsidR="009251DB" w:rsidRPr="002F10F7">
        <w:t>06</w:t>
      </w:r>
      <w:r w:rsidR="00921F92" w:rsidRPr="002F10F7">
        <w:t>]).</w:t>
      </w:r>
    </w:p>
    <w:p w14:paraId="1F9C5832" w14:textId="4885F360" w:rsidR="007E0F7A" w:rsidRPr="002F10F7" w:rsidRDefault="0049248C" w:rsidP="00BB5033">
      <w:r w:rsidRPr="002F10F7">
        <w:t>STATEMEN</w:t>
      </w:r>
      <w:r w:rsidR="008E1F78" w:rsidRPr="002F10F7">
        <w:t xml:space="preserve">T OF INTENT </w:t>
      </w:r>
      <w:r w:rsidR="00DD0479" w:rsidRPr="002F10F7">
        <w:t>TO PROVE SUBSEQUENT CONDUCT</w:t>
      </w:r>
    </w:p>
    <w:p w14:paraId="11F4FC29" w14:textId="1704E3CC" w:rsidR="00A81301" w:rsidRPr="002F10F7" w:rsidRDefault="00DD0479">
      <w:r w:rsidRPr="002F10F7">
        <w:t xml:space="preserve">In </w:t>
      </w:r>
      <w:r w:rsidR="00A02F35" w:rsidRPr="002F10F7">
        <w:t>the</w:t>
      </w:r>
      <w:r w:rsidR="00BA3ECD" w:rsidRPr="002F10F7">
        <w:t xml:space="preserve"> </w:t>
      </w:r>
      <w:r w:rsidR="003B40C8" w:rsidRPr="002F10F7">
        <w:t xml:space="preserve">oft-cited </w:t>
      </w:r>
      <w:r w:rsidR="00BA3ECD" w:rsidRPr="002F10F7">
        <w:t xml:space="preserve">case of </w:t>
      </w:r>
      <w:r w:rsidR="002829A2" w:rsidRPr="002F10F7">
        <w:rPr>
          <w:i/>
          <w:iCs/>
        </w:rPr>
        <w:t>Mutual</w:t>
      </w:r>
      <w:r w:rsidR="00A02F35" w:rsidRPr="002F10F7">
        <w:rPr>
          <w:i/>
          <w:iCs/>
        </w:rPr>
        <w:t xml:space="preserve"> Life Insurance Co</w:t>
      </w:r>
      <w:r w:rsidR="002829A2" w:rsidRPr="002F10F7">
        <w:rPr>
          <w:i/>
          <w:iCs/>
        </w:rPr>
        <w:t xml:space="preserve"> </w:t>
      </w:r>
      <w:r w:rsidR="0049248C" w:rsidRPr="002F10F7">
        <w:rPr>
          <w:i/>
          <w:iCs/>
        </w:rPr>
        <w:t>v Hillmon</w:t>
      </w:r>
      <w:r w:rsidR="0049248C" w:rsidRPr="002F10F7">
        <w:t xml:space="preserve"> (</w:t>
      </w:r>
      <w:r w:rsidR="00B468FF" w:rsidRPr="002F10F7">
        <w:t>145 US 2</w:t>
      </w:r>
      <w:r w:rsidR="00016EE1" w:rsidRPr="002F10F7">
        <w:t>85 [1892]</w:t>
      </w:r>
      <w:r w:rsidR="008C6CD9" w:rsidRPr="002F10F7">
        <w:t xml:space="preserve">), the </w:t>
      </w:r>
      <w:r w:rsidR="00680722" w:rsidRPr="002F10F7">
        <w:t xml:space="preserve">Supreme </w:t>
      </w:r>
      <w:r w:rsidR="008C6CD9" w:rsidRPr="002F10F7">
        <w:t xml:space="preserve">Court expanded the </w:t>
      </w:r>
      <w:r w:rsidR="00E038D2" w:rsidRPr="002F10F7">
        <w:t>state of mind exception to include statements</w:t>
      </w:r>
      <w:r w:rsidR="00EB79BD" w:rsidRPr="002F10F7">
        <w:t xml:space="preserve"> declaring one’s intent </w:t>
      </w:r>
      <w:r w:rsidR="001961F5" w:rsidRPr="002F10F7">
        <w:t xml:space="preserve">to engage in future conduct </w:t>
      </w:r>
      <w:r w:rsidR="009624ED" w:rsidRPr="002F10F7">
        <w:t xml:space="preserve">with another person </w:t>
      </w:r>
      <w:r w:rsidR="009D55A5" w:rsidRPr="002F10F7">
        <w:t>to prove not only</w:t>
      </w:r>
      <w:r w:rsidR="003B40C8" w:rsidRPr="002F10F7">
        <w:t xml:space="preserve"> that</w:t>
      </w:r>
      <w:r w:rsidR="009D55A5" w:rsidRPr="002F10F7">
        <w:t xml:space="preserve"> the declar</w:t>
      </w:r>
      <w:r w:rsidR="00854B4A" w:rsidRPr="002F10F7">
        <w:t xml:space="preserve">ant carried out such </w:t>
      </w:r>
      <w:r w:rsidR="00AC428C" w:rsidRPr="002F10F7">
        <w:t>conduct but th</w:t>
      </w:r>
      <w:r w:rsidR="007B0EDF" w:rsidRPr="002F10F7">
        <w:t>at</w:t>
      </w:r>
      <w:r w:rsidR="00AC428C" w:rsidRPr="002F10F7">
        <w:t xml:space="preserve"> he/she did so with the </w:t>
      </w:r>
      <w:r w:rsidR="00B80749" w:rsidRPr="002F10F7">
        <w:t>other person mentioned.</w:t>
      </w:r>
    </w:p>
    <w:p w14:paraId="13D90B94" w14:textId="31A3D9E2" w:rsidR="00383E44" w:rsidRPr="002F10F7" w:rsidRDefault="00115E84">
      <w:r w:rsidRPr="002F10F7">
        <w:t xml:space="preserve">This </w:t>
      </w:r>
      <w:r w:rsidR="000115F7" w:rsidRPr="002F10F7">
        <w:t xml:space="preserve">is so even though there is no </w:t>
      </w:r>
      <w:r w:rsidR="005A3579" w:rsidRPr="002F10F7">
        <w:t xml:space="preserve">direct </w:t>
      </w:r>
      <w:r w:rsidR="000115F7" w:rsidRPr="002F10F7">
        <w:t xml:space="preserve">evidence </w:t>
      </w:r>
      <w:r w:rsidR="00353786" w:rsidRPr="002F10F7">
        <w:t xml:space="preserve">of the </w:t>
      </w:r>
      <w:r w:rsidR="00E71AE8" w:rsidRPr="002F10F7">
        <w:t xml:space="preserve">third party’s state of mind. </w:t>
      </w:r>
      <w:r w:rsidR="00E848A7" w:rsidRPr="002F10F7">
        <w:t xml:space="preserve">Consequently, the proponent of such </w:t>
      </w:r>
      <w:r w:rsidR="00CC001E" w:rsidRPr="002F10F7">
        <w:t>testimony</w:t>
      </w:r>
      <w:r w:rsidR="00E848A7" w:rsidRPr="002F10F7">
        <w:t xml:space="preserve"> </w:t>
      </w:r>
      <w:r w:rsidR="00AD7DCA" w:rsidRPr="002F10F7">
        <w:t xml:space="preserve">is granted </w:t>
      </w:r>
      <w:r w:rsidR="004E6887" w:rsidRPr="002F10F7">
        <w:t xml:space="preserve">a double benefit </w:t>
      </w:r>
      <w:r w:rsidR="0073403C" w:rsidRPr="002F10F7">
        <w:t xml:space="preserve">where the </w:t>
      </w:r>
      <w:r w:rsidR="00A81301" w:rsidRPr="002F10F7">
        <w:t xml:space="preserve">former’s statement </w:t>
      </w:r>
      <w:r w:rsidR="0073403C" w:rsidRPr="002F10F7">
        <w:t>of intent is, for all intents and purpose</w:t>
      </w:r>
      <w:r w:rsidR="003643CA" w:rsidRPr="002F10F7">
        <w:t xml:space="preserve">s, imputed to the </w:t>
      </w:r>
      <w:r w:rsidR="00F91664" w:rsidRPr="002F10F7">
        <w:t xml:space="preserve">latter (provided there are </w:t>
      </w:r>
      <w:r w:rsidR="00074EBC" w:rsidRPr="002F10F7">
        <w:t xml:space="preserve">strong indicia of trustworthiness and a </w:t>
      </w:r>
      <w:r w:rsidR="009151CB" w:rsidRPr="002F10F7">
        <w:t>high probability of the joint conduc</w:t>
      </w:r>
      <w:r w:rsidR="00645572" w:rsidRPr="002F10F7">
        <w:t>t’s</w:t>
      </w:r>
      <w:r w:rsidR="009151CB" w:rsidRPr="002F10F7">
        <w:t xml:space="preserve"> occurrence). </w:t>
      </w:r>
    </w:p>
    <w:p w14:paraId="5E4ECE06" w14:textId="7025D0AB" w:rsidR="00FA5F87" w:rsidRPr="002F10F7" w:rsidRDefault="00CF5FEB">
      <w:r w:rsidRPr="002F10F7">
        <w:t xml:space="preserve">The issue in </w:t>
      </w:r>
      <w:r w:rsidRPr="002F10F7">
        <w:rPr>
          <w:i/>
          <w:iCs/>
        </w:rPr>
        <w:t>Hillmon</w:t>
      </w:r>
      <w:r w:rsidRPr="002F10F7">
        <w:t xml:space="preserve"> was whether the trial court </w:t>
      </w:r>
      <w:r w:rsidR="00130554" w:rsidRPr="002F10F7">
        <w:t>erred</w:t>
      </w:r>
      <w:r w:rsidR="00BE5BA1" w:rsidRPr="002F10F7">
        <w:t xml:space="preserve"> (</w:t>
      </w:r>
      <w:r w:rsidR="00F8310B" w:rsidRPr="002F10F7">
        <w:t>in</w:t>
      </w:r>
      <w:r w:rsidRPr="002F10F7">
        <w:t xml:space="preserve"> </w:t>
      </w:r>
      <w:r w:rsidR="00CF4C64" w:rsidRPr="002F10F7">
        <w:t xml:space="preserve">this case </w:t>
      </w:r>
      <w:r w:rsidR="00F6736D" w:rsidRPr="002F10F7">
        <w:t xml:space="preserve">arising from </w:t>
      </w:r>
      <w:r w:rsidR="00936DFD" w:rsidRPr="002F10F7">
        <w:t>the denial of the</w:t>
      </w:r>
      <w:r w:rsidR="00BC5770" w:rsidRPr="002F10F7">
        <w:t xml:space="preserve"> widow</w:t>
      </w:r>
      <w:r w:rsidR="000558D5" w:rsidRPr="002F10F7">
        <w:t>/</w:t>
      </w:r>
      <w:proofErr w:type="spellStart"/>
      <w:r w:rsidR="00A727F2" w:rsidRPr="002F10F7">
        <w:t>benficiary’s</w:t>
      </w:r>
      <w:proofErr w:type="spellEnd"/>
      <w:r w:rsidR="00A727F2" w:rsidRPr="002F10F7">
        <w:t xml:space="preserve"> claim</w:t>
      </w:r>
      <w:r w:rsidR="00BC5770" w:rsidRPr="002F10F7">
        <w:t xml:space="preserve"> for life insurance benefits </w:t>
      </w:r>
      <w:r w:rsidR="00844A7C" w:rsidRPr="002F10F7">
        <w:t xml:space="preserve">under a recently purchased </w:t>
      </w:r>
      <w:r w:rsidR="000558D5" w:rsidRPr="002F10F7">
        <w:t>life insurance policy</w:t>
      </w:r>
      <w:r w:rsidR="00F8310B" w:rsidRPr="002F10F7">
        <w:t>)</w:t>
      </w:r>
      <w:r w:rsidR="000558D5" w:rsidRPr="002F10F7">
        <w:t xml:space="preserve"> </w:t>
      </w:r>
      <w:r w:rsidR="005F12C8" w:rsidRPr="002F10F7">
        <w:t xml:space="preserve">in excluding </w:t>
      </w:r>
      <w:r w:rsidR="00C67E9A" w:rsidRPr="002F10F7">
        <w:t xml:space="preserve">two letters offered by the insurance company </w:t>
      </w:r>
      <w:r w:rsidR="004428B6" w:rsidRPr="002F10F7">
        <w:t xml:space="preserve">from one </w:t>
      </w:r>
      <w:r w:rsidR="001324B4" w:rsidRPr="002F10F7">
        <w:t xml:space="preserve">Fred Walters to his sister and fiancée </w:t>
      </w:r>
      <w:r w:rsidR="0011735F" w:rsidRPr="002F10F7">
        <w:t>informin</w:t>
      </w:r>
      <w:r w:rsidR="00A432FF" w:rsidRPr="002F10F7">
        <w:t>g them</w:t>
      </w:r>
      <w:r w:rsidR="003F2598" w:rsidRPr="002F10F7">
        <w:t xml:space="preserve"> of his plan to travel with </w:t>
      </w:r>
      <w:r w:rsidR="00116F92" w:rsidRPr="002F10F7">
        <w:t xml:space="preserve">Hillmon to </w:t>
      </w:r>
      <w:r w:rsidR="00D06B4C" w:rsidRPr="002F10F7">
        <w:t xml:space="preserve">Wichita Kansas to </w:t>
      </w:r>
      <w:r w:rsidR="00425EE8" w:rsidRPr="002F10F7">
        <w:t xml:space="preserve">work on a sheep farm </w:t>
      </w:r>
      <w:r w:rsidR="00EA743C" w:rsidRPr="002F10F7">
        <w:t xml:space="preserve">that Hillmon was </w:t>
      </w:r>
      <w:r w:rsidR="00ED3994" w:rsidRPr="002F10F7">
        <w:t>establishing.</w:t>
      </w:r>
    </w:p>
    <w:p w14:paraId="31E63061" w14:textId="428A8783" w:rsidR="00ED3994" w:rsidRPr="002F10F7" w:rsidRDefault="00EF0DC7">
      <w:r w:rsidRPr="002F10F7">
        <w:t>The widow’s</w:t>
      </w:r>
      <w:r w:rsidR="00BD6F1C" w:rsidRPr="002F10F7">
        <w:t xml:space="preserve"> </w:t>
      </w:r>
      <w:r w:rsidR="00545B7A" w:rsidRPr="002F10F7">
        <w:t xml:space="preserve">claim was that </w:t>
      </w:r>
      <w:r w:rsidR="002B4EE3" w:rsidRPr="002F10F7">
        <w:t xml:space="preserve">her husband </w:t>
      </w:r>
      <w:r w:rsidR="00545B7A" w:rsidRPr="002F10F7">
        <w:t xml:space="preserve">had travelled to </w:t>
      </w:r>
      <w:r w:rsidR="00FF4FEF" w:rsidRPr="002F10F7">
        <w:t xml:space="preserve">Wichita with a friend (one </w:t>
      </w:r>
      <w:r w:rsidR="00F67D13" w:rsidRPr="002F10F7">
        <w:t>Mr.</w:t>
      </w:r>
      <w:r w:rsidR="00FF4FEF" w:rsidRPr="002F10F7">
        <w:t xml:space="preserve"> Brown) </w:t>
      </w:r>
      <w:r w:rsidR="00183C65" w:rsidRPr="002F10F7">
        <w:t>in search of land to start a cattle ranch but was killed</w:t>
      </w:r>
      <w:r w:rsidR="005244E4" w:rsidRPr="002F10F7">
        <w:t xml:space="preserve"> a couple weeks later</w:t>
      </w:r>
      <w:r w:rsidR="00183C65" w:rsidRPr="002F10F7">
        <w:t xml:space="preserve"> </w:t>
      </w:r>
      <w:r w:rsidR="005613D8" w:rsidRPr="002F10F7">
        <w:t xml:space="preserve">at Crooked Creek </w:t>
      </w:r>
      <w:r w:rsidR="00183C65" w:rsidRPr="002F10F7">
        <w:t xml:space="preserve">by </w:t>
      </w:r>
      <w:r w:rsidR="00F054EC" w:rsidRPr="002F10F7">
        <w:t>an accidental discharge</w:t>
      </w:r>
      <w:r w:rsidR="00553A72" w:rsidRPr="002F10F7">
        <w:t xml:space="preserve"> from</w:t>
      </w:r>
      <w:r w:rsidR="00F054EC" w:rsidRPr="002F10F7">
        <w:t xml:space="preserve"> </w:t>
      </w:r>
      <w:r w:rsidR="005613D8" w:rsidRPr="002F10F7">
        <w:t xml:space="preserve">Brown’s gun after which his body was buried in </w:t>
      </w:r>
      <w:r w:rsidR="009E5CCA" w:rsidRPr="002F10F7">
        <w:t>a nearby town.</w:t>
      </w:r>
    </w:p>
    <w:p w14:paraId="59056077" w14:textId="2D0A20E9" w:rsidR="00346A86" w:rsidRPr="002F10F7" w:rsidRDefault="00346A86">
      <w:r w:rsidRPr="002F10F7">
        <w:t xml:space="preserve">The </w:t>
      </w:r>
      <w:r w:rsidR="002B4EE3" w:rsidRPr="002F10F7">
        <w:t>insurance compan</w:t>
      </w:r>
      <w:r w:rsidR="00FB287D" w:rsidRPr="002F10F7">
        <w:t>y</w:t>
      </w:r>
      <w:r w:rsidRPr="002F10F7">
        <w:t xml:space="preserve"> </w:t>
      </w:r>
      <w:r w:rsidR="003771BE" w:rsidRPr="002F10F7">
        <w:t xml:space="preserve">argued that </w:t>
      </w:r>
      <w:r w:rsidR="00B83903" w:rsidRPr="002F10F7">
        <w:t xml:space="preserve">the body </w:t>
      </w:r>
      <w:r w:rsidR="00697438" w:rsidRPr="002F10F7">
        <w:t xml:space="preserve">(which was exhumed and identified </w:t>
      </w:r>
      <w:r w:rsidR="000472C2" w:rsidRPr="002F10F7">
        <w:t>by family as</w:t>
      </w:r>
      <w:r w:rsidR="0062517C" w:rsidRPr="002F10F7">
        <w:t xml:space="preserve"> Brown’s</w:t>
      </w:r>
      <w:r w:rsidR="00697438" w:rsidRPr="002F10F7">
        <w:t>) was p</w:t>
      </w:r>
      <w:r w:rsidR="00F46216" w:rsidRPr="002F10F7">
        <w:t xml:space="preserve">art of Hillmon’s plan to fake his own death and </w:t>
      </w:r>
      <w:r w:rsidR="0062517C" w:rsidRPr="002F10F7">
        <w:t>enable his wife to collect under the policy</w:t>
      </w:r>
      <w:r w:rsidR="00630FAA" w:rsidRPr="002F10F7">
        <w:t xml:space="preserve">. </w:t>
      </w:r>
      <w:r w:rsidR="0099419F" w:rsidRPr="002F10F7">
        <w:t xml:space="preserve">It was offered to show circumstantially that </w:t>
      </w:r>
      <w:r w:rsidR="00EA0550" w:rsidRPr="002F10F7">
        <w:t xml:space="preserve">Hillmon induced Brown to accompany him </w:t>
      </w:r>
      <w:r w:rsidR="00BB4B67" w:rsidRPr="002F10F7">
        <w:t>to a remote location to</w:t>
      </w:r>
      <w:r w:rsidR="00BA65F0" w:rsidRPr="002F10F7">
        <w:t xml:space="preserve"> procure his death</w:t>
      </w:r>
      <w:r w:rsidR="00BB4B67" w:rsidRPr="002F10F7">
        <w:t xml:space="preserve"> and provide</w:t>
      </w:r>
      <w:r w:rsidR="0011771A" w:rsidRPr="002F10F7">
        <w:t xml:space="preserve"> a</w:t>
      </w:r>
      <w:r w:rsidR="00685183" w:rsidRPr="002F10F7">
        <w:t xml:space="preserve"> </w:t>
      </w:r>
      <w:r w:rsidR="00FD6E32" w:rsidRPr="002F10F7">
        <w:t>convenient corpse</w:t>
      </w:r>
      <w:r w:rsidR="007D1E40" w:rsidRPr="002F10F7">
        <w:t xml:space="preserve"> </w:t>
      </w:r>
      <w:r w:rsidR="0011771A" w:rsidRPr="002F10F7">
        <w:t>upon which the claim for benefits</w:t>
      </w:r>
      <w:r w:rsidR="002E5692" w:rsidRPr="002F10F7">
        <w:t xml:space="preserve"> could</w:t>
      </w:r>
      <w:r w:rsidR="0011771A" w:rsidRPr="002F10F7">
        <w:t xml:space="preserve"> be made. </w:t>
      </w:r>
      <w:r w:rsidR="00F46216" w:rsidRPr="002F10F7">
        <w:t xml:space="preserve"> </w:t>
      </w:r>
    </w:p>
    <w:p w14:paraId="53B269E7" w14:textId="2841E4A3" w:rsidR="00C911D4" w:rsidRPr="002F10F7" w:rsidRDefault="00C911D4">
      <w:r w:rsidRPr="002F10F7">
        <w:t xml:space="preserve">As noted above, the trial court </w:t>
      </w:r>
      <w:r w:rsidR="00EE491A" w:rsidRPr="002F10F7">
        <w:t xml:space="preserve">refused to admit the letters on the grounds of hearsay. </w:t>
      </w:r>
      <w:r w:rsidR="00EB6B6E" w:rsidRPr="002F10F7">
        <w:t>The Court ultimately reversed, holding that</w:t>
      </w:r>
      <w:r w:rsidR="00F627F8" w:rsidRPr="002F10F7">
        <w:t xml:space="preserve">, upon a retrial, </w:t>
      </w:r>
      <w:r w:rsidR="001118C5" w:rsidRPr="002F10F7">
        <w:t xml:space="preserve">the letters would be admissible under the STATE OF MIND exception </w:t>
      </w:r>
      <w:r w:rsidR="00E70606" w:rsidRPr="002F10F7">
        <w:t xml:space="preserve">because such statements </w:t>
      </w:r>
      <w:r w:rsidR="00561F30" w:rsidRPr="002F10F7">
        <w:t xml:space="preserve">of intention (to </w:t>
      </w:r>
      <w:r w:rsidR="0013749F" w:rsidRPr="002F10F7">
        <w:t xml:space="preserve">go </w:t>
      </w:r>
      <w:r w:rsidR="00561F30" w:rsidRPr="002F10F7">
        <w:t xml:space="preserve">with Hillmon) </w:t>
      </w:r>
      <w:r w:rsidR="0013749F" w:rsidRPr="002F10F7">
        <w:t xml:space="preserve">was a distinct and material </w:t>
      </w:r>
      <w:r w:rsidR="008B11A2" w:rsidRPr="002F10F7">
        <w:t>fact of the CHAIN OF CIRCUMST</w:t>
      </w:r>
      <w:r w:rsidR="006810EC" w:rsidRPr="002F10F7">
        <w:t>ANCES</w:t>
      </w:r>
      <w:r w:rsidR="006047C6" w:rsidRPr="002F10F7">
        <w:t xml:space="preserve"> </w:t>
      </w:r>
      <w:r w:rsidR="00A43611" w:rsidRPr="002F10F7">
        <w:t>(145 US at 2</w:t>
      </w:r>
      <w:r w:rsidR="000476D1" w:rsidRPr="002F10F7">
        <w:t xml:space="preserve">95). In so ruling, the </w:t>
      </w:r>
      <w:r w:rsidR="006047C6" w:rsidRPr="002F10F7">
        <w:t>C</w:t>
      </w:r>
      <w:r w:rsidR="000476D1" w:rsidRPr="002F10F7">
        <w:t xml:space="preserve">ourt found </w:t>
      </w:r>
      <w:r w:rsidR="00B42B3C" w:rsidRPr="002F10F7">
        <w:t xml:space="preserve">that there were sufficient indicia of reliability </w:t>
      </w:r>
      <w:r w:rsidR="000B6F33" w:rsidRPr="002F10F7">
        <w:t xml:space="preserve">(including </w:t>
      </w:r>
      <w:r w:rsidR="001B7634" w:rsidRPr="002F10F7">
        <w:t>Hillmon’s concurrent</w:t>
      </w:r>
      <w:r w:rsidR="000B6F33" w:rsidRPr="002F10F7">
        <w:t xml:space="preserve"> plans and Brown’s body </w:t>
      </w:r>
      <w:r w:rsidR="00081B5C" w:rsidRPr="002F10F7">
        <w:t xml:space="preserve">being </w:t>
      </w:r>
      <w:r w:rsidR="001B7634" w:rsidRPr="002F10F7">
        <w:t>found where Hollman’s was supposed to be)</w:t>
      </w:r>
      <w:r w:rsidR="00081B5C" w:rsidRPr="002F10F7">
        <w:t xml:space="preserve"> and of necessity (owing to Brown’s unavailability as a </w:t>
      </w:r>
      <w:r w:rsidR="0088380E" w:rsidRPr="002F10F7">
        <w:t>witness).</w:t>
      </w:r>
    </w:p>
    <w:p w14:paraId="01E4A743" w14:textId="76124C83" w:rsidR="00081B5C" w:rsidRPr="002F10F7" w:rsidRDefault="00476F43">
      <w:r w:rsidRPr="002F10F7">
        <w:t xml:space="preserve">As the Court observed, </w:t>
      </w:r>
      <w:r w:rsidR="00FC51DE" w:rsidRPr="002F10F7">
        <w:t xml:space="preserve">“Walter’s </w:t>
      </w:r>
      <w:r w:rsidR="006047C6" w:rsidRPr="002F10F7">
        <w:t>[</w:t>
      </w:r>
      <w:r w:rsidR="00DD3448" w:rsidRPr="002F10F7">
        <w:t>letters</w:t>
      </w:r>
      <w:r w:rsidR="006047C6" w:rsidRPr="002F10F7">
        <w:t>]</w:t>
      </w:r>
      <w:r w:rsidR="00DD3448" w:rsidRPr="002F10F7">
        <w:t xml:space="preserve"> to his family </w:t>
      </w:r>
      <w:r w:rsidR="00366221" w:rsidRPr="002F10F7">
        <w:t xml:space="preserve">were the natural if not only attainable evidence </w:t>
      </w:r>
      <w:r w:rsidR="00BF7497" w:rsidRPr="002F10F7">
        <w:t xml:space="preserve">of </w:t>
      </w:r>
      <w:r w:rsidR="00366221" w:rsidRPr="002F10F7">
        <w:t>his intent</w:t>
      </w:r>
      <w:r w:rsidR="00EF14EB" w:rsidRPr="002F10F7">
        <w:t>ion</w:t>
      </w:r>
      <w:r w:rsidR="006047C6" w:rsidRPr="002F10F7">
        <w:t>”</w:t>
      </w:r>
      <w:r w:rsidR="00EF14EB" w:rsidRPr="002F10F7">
        <w:t xml:space="preserve"> (Id</w:t>
      </w:r>
      <w:r w:rsidR="006047C6" w:rsidRPr="002F10F7">
        <w:t>.,</w:t>
      </w:r>
      <w:r w:rsidR="00EF14EB" w:rsidRPr="002F10F7">
        <w:t xml:space="preserve"> </w:t>
      </w:r>
      <w:r w:rsidR="00FA2F6A" w:rsidRPr="002F10F7">
        <w:t>at 295).</w:t>
      </w:r>
      <w:r w:rsidR="003E75BB" w:rsidRPr="002F10F7">
        <w:t xml:space="preserve"> The Court also noted that </w:t>
      </w:r>
      <w:r w:rsidR="007F32A3" w:rsidRPr="002F10F7">
        <w:t xml:space="preserve">the letters were written </w:t>
      </w:r>
      <w:r w:rsidR="00E20C23" w:rsidRPr="002F10F7">
        <w:t xml:space="preserve">at the very time </w:t>
      </w:r>
      <w:r w:rsidR="00754B6F" w:rsidRPr="002F10F7">
        <w:t xml:space="preserve">and </w:t>
      </w:r>
      <w:r w:rsidR="00754B6F" w:rsidRPr="002F10F7">
        <w:lastRenderedPageBreak/>
        <w:t xml:space="preserve">under circumstances </w:t>
      </w:r>
      <w:r w:rsidR="0016110E" w:rsidRPr="002F10F7">
        <w:t xml:space="preserve">precluding suspicion of misrepresentation. </w:t>
      </w:r>
      <w:r w:rsidR="00F438DC" w:rsidRPr="002F10F7">
        <w:t>Consequently</w:t>
      </w:r>
      <w:r w:rsidR="00933196" w:rsidRPr="002F10F7">
        <w:t xml:space="preserve">, since there was </w:t>
      </w:r>
      <w:r w:rsidR="00F24FA1" w:rsidRPr="002F10F7">
        <w:t xml:space="preserve">sufficient </w:t>
      </w:r>
      <w:r w:rsidR="00933196" w:rsidRPr="002F10F7">
        <w:t>evidence of reliability (and necessity)</w:t>
      </w:r>
      <w:r w:rsidR="00F24FA1" w:rsidRPr="002F10F7">
        <w:t xml:space="preserve">, </w:t>
      </w:r>
      <w:r w:rsidR="00BF7497" w:rsidRPr="002F10F7">
        <w:t xml:space="preserve">the letters </w:t>
      </w:r>
      <w:r w:rsidR="0052287B" w:rsidRPr="002F10F7">
        <w:t>were admissible to prove that Walters travelled with H</w:t>
      </w:r>
      <w:r w:rsidR="00E07BB6" w:rsidRPr="002F10F7">
        <w:t>illmon.</w:t>
      </w:r>
      <w:r w:rsidR="0052287B" w:rsidRPr="002F10F7">
        <w:t xml:space="preserve"> </w:t>
      </w:r>
    </w:p>
    <w:p w14:paraId="463D9E7D" w14:textId="7B74A618" w:rsidR="00E63B49" w:rsidRPr="002F10F7" w:rsidRDefault="00E63B49">
      <w:r w:rsidRPr="002F10F7">
        <w:t xml:space="preserve">The </w:t>
      </w:r>
      <w:r w:rsidRPr="002F10F7">
        <w:rPr>
          <w:i/>
          <w:iCs/>
        </w:rPr>
        <w:t>Hillmon</w:t>
      </w:r>
      <w:r w:rsidRPr="002F10F7">
        <w:t xml:space="preserve"> court relied principally on </w:t>
      </w:r>
      <w:r w:rsidRPr="002F10F7">
        <w:rPr>
          <w:i/>
          <w:iCs/>
        </w:rPr>
        <w:t>Hunter v State</w:t>
      </w:r>
      <w:r w:rsidR="00B25D76" w:rsidRPr="002F10F7">
        <w:t xml:space="preserve"> (40 NJL 495 [</w:t>
      </w:r>
      <w:r w:rsidR="00582F0B" w:rsidRPr="002F10F7">
        <w:t>1878]</w:t>
      </w:r>
      <w:r w:rsidR="006047C6" w:rsidRPr="002F10F7">
        <w:t>)</w:t>
      </w:r>
      <w:r w:rsidR="00AF398C" w:rsidRPr="002F10F7">
        <w:t xml:space="preserve"> in </w:t>
      </w:r>
      <w:r w:rsidR="00396832" w:rsidRPr="002F10F7">
        <w:t xml:space="preserve">which the </w:t>
      </w:r>
      <w:r w:rsidR="005801E0" w:rsidRPr="002F10F7">
        <w:t xml:space="preserve">court upheld the admission of the </w:t>
      </w:r>
      <w:r w:rsidR="006961DD" w:rsidRPr="002F10F7">
        <w:t xml:space="preserve">victim’s pre-death statement of his plans to travel with the defendant </w:t>
      </w:r>
      <w:r w:rsidR="002E70FC" w:rsidRPr="002F10F7">
        <w:t xml:space="preserve">from Philadelphia PA to Camden NJ </w:t>
      </w:r>
      <w:r w:rsidR="00BA4434" w:rsidRPr="002F10F7">
        <w:t xml:space="preserve">(where the killing occurred) </w:t>
      </w:r>
      <w:r w:rsidR="002E70FC" w:rsidRPr="002F10F7">
        <w:t xml:space="preserve">on business. </w:t>
      </w:r>
      <w:r w:rsidR="001F6D4F" w:rsidRPr="002F10F7">
        <w:t xml:space="preserve">Focusing </w:t>
      </w:r>
      <w:r w:rsidR="00236B10" w:rsidRPr="002F10F7">
        <w:t xml:space="preserve">on indicia of trustworthiness, the </w:t>
      </w:r>
      <w:r w:rsidR="00236B10" w:rsidRPr="002F10F7">
        <w:rPr>
          <w:i/>
          <w:iCs/>
        </w:rPr>
        <w:t>Hunter</w:t>
      </w:r>
      <w:r w:rsidR="00236B10" w:rsidRPr="002F10F7">
        <w:t xml:space="preserve"> court </w:t>
      </w:r>
      <w:r w:rsidR="00BE4BEE" w:rsidRPr="002F10F7">
        <w:t>held that statement</w:t>
      </w:r>
      <w:r w:rsidR="00396832" w:rsidRPr="002F10F7">
        <w:t>s</w:t>
      </w:r>
      <w:r w:rsidR="00BE4BEE" w:rsidRPr="002F10F7">
        <w:t xml:space="preserve"> of a declarant’s intent to engage in conduct with another</w:t>
      </w:r>
      <w:r w:rsidR="007A414E" w:rsidRPr="002F10F7">
        <w:t xml:space="preserve"> may be admitted </w:t>
      </w:r>
      <w:proofErr w:type="gramStart"/>
      <w:r w:rsidR="007A414E" w:rsidRPr="002F10F7">
        <w:t>to prove</w:t>
      </w:r>
      <w:proofErr w:type="gramEnd"/>
      <w:r w:rsidR="007A414E" w:rsidRPr="002F10F7">
        <w:t xml:space="preserve"> both that the</w:t>
      </w:r>
      <w:r w:rsidR="008729FF" w:rsidRPr="002F10F7">
        <w:t xml:space="preserve"> conduct took place and that the other person </w:t>
      </w:r>
      <w:r w:rsidR="00044087" w:rsidRPr="002F10F7">
        <w:t xml:space="preserve">participated in it as well. </w:t>
      </w:r>
    </w:p>
    <w:p w14:paraId="58DA503C" w14:textId="1C0A0808" w:rsidR="008759B6" w:rsidRPr="002F10F7" w:rsidRDefault="00E241E7">
      <w:r w:rsidRPr="002F10F7">
        <w:t xml:space="preserve">Most courts seem to take the view that statements </w:t>
      </w:r>
      <w:r w:rsidR="0068411D" w:rsidRPr="002F10F7">
        <w:t>mentioning</w:t>
      </w:r>
      <w:r w:rsidRPr="002F10F7">
        <w:t xml:space="preserve"> the participation of another </w:t>
      </w:r>
      <w:r w:rsidR="00115696" w:rsidRPr="002F10F7">
        <w:t xml:space="preserve">in the usual course of every day affairs </w:t>
      </w:r>
      <w:r w:rsidR="004427E6" w:rsidRPr="002F10F7">
        <w:t xml:space="preserve">should be considered </w:t>
      </w:r>
      <w:r w:rsidR="00BF589A" w:rsidRPr="002F10F7">
        <w:t>no less reliable than statements describing the declarant</w:t>
      </w:r>
      <w:r w:rsidR="008364C9" w:rsidRPr="002F10F7">
        <w:t xml:space="preserve">’s </w:t>
      </w:r>
      <w:r w:rsidR="00813A7F" w:rsidRPr="002F10F7">
        <w:t xml:space="preserve">own intentions </w:t>
      </w:r>
      <w:r w:rsidR="00FF6878" w:rsidRPr="002F10F7">
        <w:t xml:space="preserve">including details </w:t>
      </w:r>
      <w:r w:rsidR="00813A7F" w:rsidRPr="002F10F7">
        <w:t>pertaining to</w:t>
      </w:r>
      <w:r w:rsidR="00FF6878" w:rsidRPr="002F10F7">
        <w:t xml:space="preserve"> th</w:t>
      </w:r>
      <w:r w:rsidR="00977E7C" w:rsidRPr="002F10F7">
        <w:t xml:space="preserve">e intended </w:t>
      </w:r>
      <w:r w:rsidR="00185135" w:rsidRPr="002F10F7">
        <w:t xml:space="preserve">destination </w:t>
      </w:r>
      <w:r w:rsidR="00FF6878" w:rsidRPr="002F10F7">
        <w:t>and</w:t>
      </w:r>
      <w:r w:rsidR="00977E7C" w:rsidRPr="002F10F7">
        <w:t>/or</w:t>
      </w:r>
      <w:r w:rsidR="00FF6878" w:rsidRPr="002F10F7">
        <w:t xml:space="preserve"> expected duration of his/her </w:t>
      </w:r>
      <w:r w:rsidR="000C0C25" w:rsidRPr="002F10F7">
        <w:t>impending trave</w:t>
      </w:r>
      <w:r w:rsidR="00907685" w:rsidRPr="002F10F7">
        <w:t>l.</w:t>
      </w:r>
    </w:p>
    <w:p w14:paraId="3830D4C9" w14:textId="33B36473" w:rsidR="00C35891" w:rsidRPr="002F10F7" w:rsidRDefault="00907685">
      <w:r w:rsidRPr="002F10F7">
        <w:t>And to the extent that reference to the conduct of a joint or cooperat</w:t>
      </w:r>
      <w:r w:rsidR="00BC5807" w:rsidRPr="002F10F7">
        <w:t xml:space="preserve">ive </w:t>
      </w:r>
      <w:r w:rsidR="00B9222E" w:rsidRPr="002F10F7">
        <w:t xml:space="preserve">participant suggests </w:t>
      </w:r>
      <w:r w:rsidR="00D33628" w:rsidRPr="002F10F7">
        <w:t xml:space="preserve">a </w:t>
      </w:r>
      <w:r w:rsidR="00B44215" w:rsidRPr="002F10F7">
        <w:t xml:space="preserve">prior </w:t>
      </w:r>
      <w:r w:rsidR="00D33628" w:rsidRPr="002F10F7">
        <w:t>agreement or understand</w:t>
      </w:r>
      <w:r w:rsidR="00B44215" w:rsidRPr="002F10F7">
        <w:t>ing</w:t>
      </w:r>
      <w:r w:rsidR="00D33628" w:rsidRPr="002F10F7">
        <w:t xml:space="preserve"> between</w:t>
      </w:r>
      <w:r w:rsidR="008759B6" w:rsidRPr="002F10F7">
        <w:t xml:space="preserve"> them</w:t>
      </w:r>
      <w:r w:rsidR="00D33628" w:rsidRPr="002F10F7">
        <w:t xml:space="preserve">, admissibility is not foreclosed </w:t>
      </w:r>
      <w:proofErr w:type="gramStart"/>
      <w:r w:rsidR="00D33628" w:rsidRPr="002F10F7">
        <w:t>as long as</w:t>
      </w:r>
      <w:proofErr w:type="gramEnd"/>
      <w:r w:rsidR="00D33628" w:rsidRPr="002F10F7">
        <w:t xml:space="preserve"> there is</w:t>
      </w:r>
      <w:r w:rsidR="00155C9C" w:rsidRPr="002F10F7">
        <w:t xml:space="preserve"> other reliable evidence that</w:t>
      </w:r>
      <w:r w:rsidR="007F70A9" w:rsidRPr="002F10F7">
        <w:t xml:space="preserve">: </w:t>
      </w:r>
      <w:r w:rsidR="00155C9C" w:rsidRPr="002F10F7">
        <w:t>such agreement</w:t>
      </w:r>
      <w:r w:rsidR="00B44215" w:rsidRPr="002F10F7">
        <w:t>/understanding was recent</w:t>
      </w:r>
      <w:r w:rsidR="00641C2B" w:rsidRPr="002F10F7">
        <w:t>ly made</w:t>
      </w:r>
      <w:r w:rsidR="00346338" w:rsidRPr="002F10F7">
        <w:t xml:space="preserve">, </w:t>
      </w:r>
      <w:r w:rsidR="007F70A9" w:rsidRPr="002F10F7">
        <w:t>the information was within the declarant’s personal knowledge</w:t>
      </w:r>
      <w:r w:rsidR="00AD206D" w:rsidRPr="002F10F7">
        <w:t>,</w:t>
      </w:r>
      <w:r w:rsidR="007F70A9" w:rsidRPr="002F10F7">
        <w:t xml:space="preserve"> and </w:t>
      </w:r>
      <w:r w:rsidR="00E82868" w:rsidRPr="002F10F7">
        <w:t xml:space="preserve">the statement to engage in </w:t>
      </w:r>
      <w:r w:rsidR="00E12E49" w:rsidRPr="002F10F7">
        <w:t xml:space="preserve">such </w:t>
      </w:r>
      <w:r w:rsidR="00E82868" w:rsidRPr="002F10F7">
        <w:t xml:space="preserve">conduct </w:t>
      </w:r>
      <w:r w:rsidR="00C542B8" w:rsidRPr="002F10F7">
        <w:t>(</w:t>
      </w:r>
      <w:r w:rsidR="003D6972" w:rsidRPr="002F10F7">
        <w:t xml:space="preserve">that </w:t>
      </w:r>
      <w:r w:rsidR="00F0419D" w:rsidRPr="002F10F7">
        <w:t xml:space="preserve">appeared </w:t>
      </w:r>
      <w:r w:rsidR="003D6972" w:rsidRPr="002F10F7">
        <w:t>likely</w:t>
      </w:r>
      <w:r w:rsidR="00D82642" w:rsidRPr="002F10F7">
        <w:t xml:space="preserve"> </w:t>
      </w:r>
      <w:r w:rsidR="003D6972" w:rsidRPr="002F10F7">
        <w:t>to occur</w:t>
      </w:r>
      <w:r w:rsidR="00C542B8" w:rsidRPr="002F10F7">
        <w:t>)</w:t>
      </w:r>
      <w:r w:rsidR="003D6972" w:rsidRPr="002F10F7">
        <w:t xml:space="preserve"> </w:t>
      </w:r>
      <w:r w:rsidR="00C542B8" w:rsidRPr="002F10F7">
        <w:t>was</w:t>
      </w:r>
      <w:r w:rsidR="00E82868" w:rsidRPr="002F10F7">
        <w:t xml:space="preserve"> </w:t>
      </w:r>
      <w:r w:rsidR="00D6090D" w:rsidRPr="002F10F7">
        <w:t xml:space="preserve">clear and unambiguous. </w:t>
      </w:r>
      <w:r w:rsidR="00E12E49" w:rsidRPr="002F10F7">
        <w:t xml:space="preserve">The declarant, it </w:t>
      </w:r>
      <w:r w:rsidR="0052666F" w:rsidRPr="002F10F7">
        <w:t xml:space="preserve">should also </w:t>
      </w:r>
      <w:r w:rsidR="00E12E49" w:rsidRPr="002F10F7">
        <w:t xml:space="preserve">be noted, </w:t>
      </w:r>
      <w:r w:rsidR="0061040F" w:rsidRPr="002F10F7">
        <w:t xml:space="preserve">must be </w:t>
      </w:r>
      <w:r w:rsidR="00E12E49" w:rsidRPr="002F10F7">
        <w:t>UNAVALABLE</w:t>
      </w:r>
      <w:r w:rsidR="00195053" w:rsidRPr="002F10F7">
        <w:t xml:space="preserve"> to testify (</w:t>
      </w:r>
      <w:r w:rsidR="00D82642" w:rsidRPr="002F10F7">
        <w:t>s</w:t>
      </w:r>
      <w:r w:rsidR="00195053" w:rsidRPr="002F10F7">
        <w:t xml:space="preserve">ee </w:t>
      </w:r>
      <w:r w:rsidR="00195053" w:rsidRPr="002F10F7">
        <w:rPr>
          <w:i/>
          <w:iCs/>
        </w:rPr>
        <w:t>People v Thomas</w:t>
      </w:r>
      <w:r w:rsidR="00195053" w:rsidRPr="002F10F7">
        <w:t xml:space="preserve">, </w:t>
      </w:r>
      <w:r w:rsidR="00A07473" w:rsidRPr="002F10F7">
        <w:t>68 NY2d 1</w:t>
      </w:r>
      <w:r w:rsidR="00F13111" w:rsidRPr="002F10F7">
        <w:t>94 [</w:t>
      </w:r>
      <w:r w:rsidR="006366B6" w:rsidRPr="002F10F7">
        <w:t>1986]).</w:t>
      </w:r>
    </w:p>
    <w:p w14:paraId="3123F403" w14:textId="68DAB0E7" w:rsidR="0052666F" w:rsidRPr="002F10F7" w:rsidRDefault="0011330A">
      <w:r w:rsidRPr="002F10F7">
        <w:t>NY A</w:t>
      </w:r>
      <w:r w:rsidR="00A47AC3" w:rsidRPr="002F10F7">
        <w:t>DVISORY</w:t>
      </w:r>
      <w:r w:rsidRPr="002F10F7">
        <w:t xml:space="preserve"> RULE </w:t>
      </w:r>
      <w:r w:rsidR="00A47AC3" w:rsidRPr="002F10F7">
        <w:t>8.42: DECLARATIONOF FUT</w:t>
      </w:r>
      <w:r w:rsidR="00E94691" w:rsidRPr="002F10F7">
        <w:t>URE INTENT</w:t>
      </w:r>
    </w:p>
    <w:p w14:paraId="28C17CAA" w14:textId="5031E782" w:rsidR="00E94691" w:rsidRPr="002F10F7" w:rsidRDefault="00E94691" w:rsidP="00E94691">
      <w:pPr>
        <w:pStyle w:val="ListParagraph"/>
        <w:numPr>
          <w:ilvl w:val="0"/>
          <w:numId w:val="4"/>
        </w:numPr>
      </w:pPr>
      <w:r w:rsidRPr="002F10F7">
        <w:t>When a declarant’s out-of-co</w:t>
      </w:r>
      <w:r w:rsidR="0061040F" w:rsidRPr="002F10F7">
        <w:t xml:space="preserve">urt statement describes his/her then-existing intent </w:t>
      </w:r>
      <w:r w:rsidR="005714B4" w:rsidRPr="002F10F7">
        <w:t xml:space="preserve">and is offered to prove such conduct, </w:t>
      </w:r>
      <w:r w:rsidR="009B6F0C" w:rsidRPr="002F10F7">
        <w:t>it is admissible as follows</w:t>
      </w:r>
      <w:r w:rsidR="00052796" w:rsidRPr="002F10F7">
        <w:t>:</w:t>
      </w:r>
    </w:p>
    <w:p w14:paraId="3CE9E70E" w14:textId="59101DF9" w:rsidR="009B6F0C" w:rsidRPr="002F10F7" w:rsidRDefault="00CF0DD0" w:rsidP="00BF111A">
      <w:pPr>
        <w:pStyle w:val="ListParagraph"/>
        <w:numPr>
          <w:ilvl w:val="0"/>
          <w:numId w:val="6"/>
        </w:numPr>
      </w:pPr>
      <w:r w:rsidRPr="002F10F7">
        <w:t xml:space="preserve">A declarant’s </w:t>
      </w:r>
      <w:r w:rsidR="00E64E47" w:rsidRPr="002F10F7">
        <w:t xml:space="preserve">statement of an intention to engage </w:t>
      </w:r>
      <w:proofErr w:type="gramStart"/>
      <w:r w:rsidR="00E64E47" w:rsidRPr="002F10F7">
        <w:t>in particular conduct</w:t>
      </w:r>
      <w:proofErr w:type="gramEnd"/>
      <w:r w:rsidR="00E64E47" w:rsidRPr="002F10F7">
        <w:t xml:space="preserve"> </w:t>
      </w:r>
      <w:r w:rsidR="00A16E91" w:rsidRPr="002F10F7">
        <w:t xml:space="preserve">IS ADMISSIBLE to prove that the </w:t>
      </w:r>
      <w:r w:rsidR="000966B9" w:rsidRPr="002F10F7">
        <w:t xml:space="preserve">declarant ENGAGED IN SUCH CONDUCT provided </w:t>
      </w:r>
      <w:r w:rsidR="00C10CCD" w:rsidRPr="002F10F7">
        <w:t xml:space="preserve">there is INDEPENDENT EVIDENCE OF THE STATEMENT’S RELIABILITY, </w:t>
      </w:r>
      <w:r w:rsidR="00F14959" w:rsidRPr="002F10F7">
        <w:t>(i.e.</w:t>
      </w:r>
      <w:r w:rsidR="00FF77D5" w:rsidRPr="002F10F7">
        <w:t>,</w:t>
      </w:r>
      <w:r w:rsidR="00F14959" w:rsidRPr="002F10F7">
        <w:t xml:space="preserve"> a showing of circumstances </w:t>
      </w:r>
      <w:r w:rsidR="001E007C" w:rsidRPr="002F10F7">
        <w:t>which ALL BUT RULE OUT</w:t>
      </w:r>
      <w:r w:rsidR="00677B6F" w:rsidRPr="002F10F7">
        <w:t xml:space="preserve"> A</w:t>
      </w:r>
      <w:r w:rsidR="001E007C" w:rsidRPr="002F10F7">
        <w:t xml:space="preserve"> MOTIVE TO FALSIFY</w:t>
      </w:r>
      <w:r w:rsidR="00116BC1" w:rsidRPr="002F10F7">
        <w:t xml:space="preserve">) and INDEPENDENT EVIDENCE </w:t>
      </w:r>
      <w:r w:rsidR="001B0234" w:rsidRPr="002F10F7">
        <w:t xml:space="preserve">THAT </w:t>
      </w:r>
      <w:r w:rsidR="00E86A78" w:rsidRPr="002F10F7">
        <w:t xml:space="preserve">THE DECLARANT WA AT LEAST LIKELY TO HAVE ENGAGED IN THAT </w:t>
      </w:r>
      <w:r w:rsidR="0039362D" w:rsidRPr="002F10F7">
        <w:t>CONDUCT.</w:t>
      </w:r>
    </w:p>
    <w:p w14:paraId="126E82DF" w14:textId="68C9CD7E" w:rsidR="002008AD" w:rsidRPr="002F10F7" w:rsidRDefault="00FD018B" w:rsidP="002F3210">
      <w:pPr>
        <w:pStyle w:val="ListParagraph"/>
        <w:numPr>
          <w:ilvl w:val="0"/>
          <w:numId w:val="6"/>
        </w:numPr>
      </w:pPr>
      <w:r w:rsidRPr="002F10F7">
        <w:t xml:space="preserve">Where such statement also indicates an intention to engage </w:t>
      </w:r>
      <w:proofErr w:type="gramStart"/>
      <w:r w:rsidR="00265388" w:rsidRPr="002F10F7">
        <w:t>in particular conduct</w:t>
      </w:r>
      <w:proofErr w:type="gramEnd"/>
      <w:r w:rsidR="00265388" w:rsidRPr="002F10F7">
        <w:t xml:space="preserve"> with another person</w:t>
      </w:r>
      <w:r w:rsidR="0053477E" w:rsidRPr="002F10F7">
        <w:t xml:space="preserve">, such statement is ADMISSIBLE to prove that SUCH OTHER PERSON </w:t>
      </w:r>
      <w:r w:rsidR="004023E4" w:rsidRPr="002F10F7">
        <w:t>ENGAGED IN THE CONDUCT</w:t>
      </w:r>
      <w:r w:rsidR="00CF3BB7" w:rsidRPr="002F10F7">
        <w:t xml:space="preserve">: </w:t>
      </w:r>
      <w:r w:rsidR="008B6F3F" w:rsidRPr="002F10F7">
        <w:t xml:space="preserve"> </w:t>
      </w:r>
      <w:proofErr w:type="spellStart"/>
      <w:r w:rsidR="00684E2F" w:rsidRPr="002F10F7">
        <w:t>i</w:t>
      </w:r>
      <w:proofErr w:type="spellEnd"/>
      <w:r w:rsidR="00684E2F" w:rsidRPr="002F10F7">
        <w:t xml:space="preserve">. </w:t>
      </w:r>
      <w:r w:rsidR="00E4198B" w:rsidRPr="002F10F7">
        <w:t>IF THE</w:t>
      </w:r>
      <w:r w:rsidR="008B6F3F" w:rsidRPr="002F10F7">
        <w:t xml:space="preserve"> DECLARANT IS UNAVAIL</w:t>
      </w:r>
      <w:r w:rsidR="00CF3BB7" w:rsidRPr="002F10F7">
        <w:t>ABLE</w:t>
      </w:r>
      <w:r w:rsidR="00684E2F" w:rsidRPr="002F10F7">
        <w:t xml:space="preserve">; ii. </w:t>
      </w:r>
      <w:r w:rsidR="00E4198B" w:rsidRPr="002F10F7">
        <w:t xml:space="preserve">IF </w:t>
      </w:r>
      <w:r w:rsidR="00B34BD2" w:rsidRPr="002F10F7">
        <w:t xml:space="preserve">the declarant’s statement of intent </w:t>
      </w:r>
      <w:r w:rsidR="00F4696A" w:rsidRPr="002F10F7">
        <w:t>UNAMBIGUOSLY CONTEMPLATED SO</w:t>
      </w:r>
      <w:r w:rsidR="006778C1" w:rsidRPr="002F10F7">
        <w:t xml:space="preserve">ME </w:t>
      </w:r>
      <w:r w:rsidR="00F4696A" w:rsidRPr="002F10F7">
        <w:t>FUTURE ACTION B</w:t>
      </w:r>
      <w:r w:rsidR="00FD3B5A" w:rsidRPr="002F10F7">
        <w:t xml:space="preserve">Y </w:t>
      </w:r>
      <w:r w:rsidR="00F4696A" w:rsidRPr="002F10F7">
        <w:t xml:space="preserve">THE DECLARANT </w:t>
      </w:r>
      <w:r w:rsidR="004D6F13" w:rsidRPr="002F10F7">
        <w:t xml:space="preserve">(either JOINTLY </w:t>
      </w:r>
      <w:r w:rsidR="00375B4F" w:rsidRPr="002F10F7">
        <w:t xml:space="preserve">with the non-declarant or which required the non-declarant’s </w:t>
      </w:r>
      <w:r w:rsidR="0091134D" w:rsidRPr="002F10F7">
        <w:t>COOPERATION for its accompli</w:t>
      </w:r>
      <w:r w:rsidR="00B10C47" w:rsidRPr="002F10F7">
        <w:t>shment</w:t>
      </w:r>
      <w:r w:rsidR="0080725A" w:rsidRPr="002F10F7">
        <w:t>; iii.</w:t>
      </w:r>
      <w:r w:rsidR="002F3210" w:rsidRPr="002F10F7">
        <w:t xml:space="preserve">  To the extent </w:t>
      </w:r>
      <w:r w:rsidR="00064ECC" w:rsidRPr="002F10F7">
        <w:t xml:space="preserve">that the declaration expressly or impliedly refers </w:t>
      </w:r>
      <w:r w:rsidR="002008AD" w:rsidRPr="002F10F7">
        <w:t>to a PRIO</w:t>
      </w:r>
      <w:r w:rsidR="00B10C47" w:rsidRPr="002F10F7">
        <w:t>R</w:t>
      </w:r>
      <w:r w:rsidR="0080725A" w:rsidRPr="002F10F7">
        <w:t xml:space="preserve"> </w:t>
      </w:r>
      <w:r w:rsidR="00A1417E" w:rsidRPr="002F10F7">
        <w:t xml:space="preserve">UNDERSTANDING OR ARRANGEMENT with </w:t>
      </w:r>
      <w:r w:rsidR="0033726A" w:rsidRPr="002F10F7">
        <w:t xml:space="preserve">the </w:t>
      </w:r>
      <w:r w:rsidR="00A1417E" w:rsidRPr="002F10F7">
        <w:t xml:space="preserve">non-declarant, </w:t>
      </w:r>
      <w:r w:rsidR="00A7124B" w:rsidRPr="002F10F7">
        <w:t xml:space="preserve">it must be inferable under the circumstances that the understanding or arrangement </w:t>
      </w:r>
      <w:r w:rsidR="0033726A" w:rsidRPr="002F10F7">
        <w:t>OCCURRED IN TH</w:t>
      </w:r>
      <w:r w:rsidR="00FD3B5A" w:rsidRPr="002F10F7">
        <w:t xml:space="preserve">E </w:t>
      </w:r>
      <w:r w:rsidR="0033726A" w:rsidRPr="002F10F7">
        <w:t xml:space="preserve">RECENT </w:t>
      </w:r>
      <w:r w:rsidR="00424243" w:rsidRPr="002F10F7">
        <w:t xml:space="preserve">PAST and that the declarant was a PARTY to it </w:t>
      </w:r>
      <w:r w:rsidR="00650989" w:rsidRPr="002F10F7">
        <w:t>(or had COMPETENT KNOWLEDGE OF IT)</w:t>
      </w:r>
      <w:r w:rsidR="002F6FED" w:rsidRPr="002F10F7">
        <w:t xml:space="preserve">; iv. If there is </w:t>
      </w:r>
      <w:r w:rsidR="001B2FCC" w:rsidRPr="002F10F7">
        <w:t xml:space="preserve">INDEPENDENT EVIDENCE OF RELIABILITY (i.e., a showing </w:t>
      </w:r>
      <w:r w:rsidR="00B031C4" w:rsidRPr="002F10F7">
        <w:t>o</w:t>
      </w:r>
      <w:r w:rsidR="001B2FCC" w:rsidRPr="002F10F7">
        <w:t xml:space="preserve">f circumstances that all but </w:t>
      </w:r>
      <w:r w:rsidR="005E1781" w:rsidRPr="002F10F7">
        <w:t xml:space="preserve">rule out a motive to falsify and evidence </w:t>
      </w:r>
      <w:r w:rsidR="004B372F" w:rsidRPr="002F10F7">
        <w:t xml:space="preserve">that the future acts </w:t>
      </w:r>
      <w:r w:rsidR="00E570CA" w:rsidRPr="002F10F7">
        <w:t xml:space="preserve">were </w:t>
      </w:r>
      <w:r w:rsidR="00052796" w:rsidRPr="002F10F7">
        <w:t>a</w:t>
      </w:r>
      <w:r w:rsidR="00E570CA" w:rsidRPr="002F10F7">
        <w:t>t least likely to have taken place).</w:t>
      </w:r>
    </w:p>
    <w:p w14:paraId="12BF2487" w14:textId="27FCD28F" w:rsidR="00E570CA" w:rsidRPr="002F10F7" w:rsidRDefault="00E570CA" w:rsidP="00E570CA"/>
    <w:p w14:paraId="29267E29" w14:textId="408A3B4B" w:rsidR="00E570CA" w:rsidRPr="002F10F7" w:rsidRDefault="006B4C0B" w:rsidP="00E570CA">
      <w:r w:rsidRPr="002F10F7">
        <w:lastRenderedPageBreak/>
        <w:t>SOME CASES</w:t>
      </w:r>
    </w:p>
    <w:p w14:paraId="121189D6" w14:textId="51F3DD57" w:rsidR="006B4C0B" w:rsidRPr="002F10F7" w:rsidRDefault="00C06716" w:rsidP="00E570CA">
      <w:r w:rsidRPr="002F10F7">
        <w:t xml:space="preserve">In </w:t>
      </w:r>
      <w:r w:rsidR="00745A9C" w:rsidRPr="002F10F7">
        <w:rPr>
          <w:i/>
          <w:iCs/>
        </w:rPr>
        <w:t>People v Malizia</w:t>
      </w:r>
      <w:r w:rsidR="00745A9C" w:rsidRPr="002F10F7">
        <w:t xml:space="preserve"> </w:t>
      </w:r>
      <w:r w:rsidR="00052796" w:rsidRPr="002F10F7">
        <w:t>(</w:t>
      </w:r>
      <w:r w:rsidR="00B96222" w:rsidRPr="002F10F7">
        <w:t>62 NY2d 755 [19</w:t>
      </w:r>
      <w:r w:rsidR="00052796" w:rsidRPr="002F10F7">
        <w:t>84</w:t>
      </w:r>
      <w:r w:rsidR="00B96222" w:rsidRPr="002F10F7">
        <w:t xml:space="preserve">]), the </w:t>
      </w:r>
      <w:r w:rsidR="00350BCC" w:rsidRPr="002F10F7">
        <w:t xml:space="preserve">Court of Appeals </w:t>
      </w:r>
      <w:r w:rsidR="00735444" w:rsidRPr="002F10F7">
        <w:t xml:space="preserve">in this drive-by shooting </w:t>
      </w:r>
      <w:r w:rsidR="000D4193" w:rsidRPr="002F10F7">
        <w:t xml:space="preserve">homicide following a drug deal, </w:t>
      </w:r>
      <w:r w:rsidR="00737240" w:rsidRPr="002F10F7">
        <w:t xml:space="preserve">held </w:t>
      </w:r>
      <w:r w:rsidR="000D4193" w:rsidRPr="002F10F7">
        <w:t xml:space="preserve">that the defendant failed to preserve his claim that the </w:t>
      </w:r>
      <w:r w:rsidR="00ED0FF8" w:rsidRPr="002F10F7">
        <w:t xml:space="preserve">trial court improperly allowed the victim’s brother (who remained in the car while the </w:t>
      </w:r>
      <w:r w:rsidR="00CE1B8E" w:rsidRPr="002F10F7">
        <w:t>victim transacted business with the defendant down the street in another vehicle)</w:t>
      </w:r>
      <w:r w:rsidR="00E93CF2" w:rsidRPr="002F10F7">
        <w:t xml:space="preserve"> to testify to the victim’s </w:t>
      </w:r>
      <w:r w:rsidR="00026D05" w:rsidRPr="002F10F7">
        <w:t xml:space="preserve">statement that he was meeting up with the defendant to pay off </w:t>
      </w:r>
      <w:r w:rsidR="00737240" w:rsidRPr="002F10F7">
        <w:t xml:space="preserve">an existing </w:t>
      </w:r>
      <w:r w:rsidR="00026D05" w:rsidRPr="002F10F7">
        <w:t>drug debt and buy more product.</w:t>
      </w:r>
    </w:p>
    <w:p w14:paraId="0F8D193E" w14:textId="137F3D02" w:rsidR="00026D05" w:rsidRPr="002F10F7" w:rsidRDefault="00026D05" w:rsidP="00E570CA">
      <w:r w:rsidRPr="002F10F7">
        <w:t xml:space="preserve">The Court first rejected the defendant’s claim that the </w:t>
      </w:r>
      <w:r w:rsidR="008B148D" w:rsidRPr="002F10F7">
        <w:t xml:space="preserve">trial judge’s </w:t>
      </w:r>
      <w:r w:rsidR="00815141" w:rsidRPr="002F10F7">
        <w:t xml:space="preserve">evidentiary </w:t>
      </w:r>
      <w:r w:rsidR="008B148D" w:rsidRPr="002F10F7">
        <w:t xml:space="preserve">ruling in the first trial denying admission </w:t>
      </w:r>
      <w:r w:rsidR="00815141" w:rsidRPr="002F10F7">
        <w:t>of the statement was bind</w:t>
      </w:r>
      <w:r w:rsidR="000D73E5" w:rsidRPr="002F10F7">
        <w:t>ing</w:t>
      </w:r>
      <w:r w:rsidR="00815141" w:rsidRPr="002F10F7">
        <w:t xml:space="preserve"> as law</w:t>
      </w:r>
      <w:r w:rsidR="00E63A25" w:rsidRPr="002F10F7">
        <w:t>-of</w:t>
      </w:r>
      <w:r w:rsidR="00815141" w:rsidRPr="002F10F7">
        <w:t xml:space="preserve">-the case in a second trial before a new judge. </w:t>
      </w:r>
      <w:r w:rsidR="00204E9B" w:rsidRPr="002F10F7">
        <w:t xml:space="preserve">The Court also noted that </w:t>
      </w:r>
      <w:r w:rsidR="00D41C1D" w:rsidRPr="002F10F7">
        <w:t xml:space="preserve">while the defendant objected in the second trial to statements of the victim made weeks before the killing, he did not object to statements made as the brothers approached the </w:t>
      </w:r>
      <w:r w:rsidR="000D73E5" w:rsidRPr="002F10F7">
        <w:t xml:space="preserve">location of the intended transaction with the defendant </w:t>
      </w:r>
      <w:r w:rsidR="002E6ECA" w:rsidRPr="002F10F7">
        <w:t>(</w:t>
      </w:r>
      <w:r w:rsidR="002E6ECA" w:rsidRPr="002F10F7">
        <w:rPr>
          <w:i/>
          <w:iCs/>
        </w:rPr>
        <w:t>Citing Mutual Life Ins. Co. v Hillmon</w:t>
      </w:r>
      <w:r w:rsidR="002E6ECA" w:rsidRPr="002F10F7">
        <w:t>, supra).</w:t>
      </w:r>
    </w:p>
    <w:p w14:paraId="405BCB53" w14:textId="6600C700" w:rsidR="000E7464" w:rsidRPr="002F10F7" w:rsidRDefault="004D0655" w:rsidP="00E570CA">
      <w:r w:rsidRPr="002F10F7">
        <w:t xml:space="preserve">In </w:t>
      </w:r>
      <w:r w:rsidRPr="002F10F7">
        <w:rPr>
          <w:i/>
          <w:iCs/>
        </w:rPr>
        <w:t>People v James</w:t>
      </w:r>
      <w:r w:rsidRPr="002F10F7">
        <w:t xml:space="preserve"> (</w:t>
      </w:r>
      <w:r w:rsidR="0058163A" w:rsidRPr="002F10F7">
        <w:t>93 NY2d 620 [1999]),</w:t>
      </w:r>
      <w:r w:rsidR="00773761" w:rsidRPr="002F10F7">
        <w:t xml:space="preserve"> </w:t>
      </w:r>
      <w:r w:rsidR="007D4AD5" w:rsidRPr="002F10F7">
        <w:t xml:space="preserve">a </w:t>
      </w:r>
      <w:r w:rsidR="009E69CB" w:rsidRPr="002F10F7">
        <w:t xml:space="preserve">perjury prosecution </w:t>
      </w:r>
      <w:r w:rsidR="009B053B" w:rsidRPr="002F10F7">
        <w:t>stemming from</w:t>
      </w:r>
      <w:r w:rsidR="006F4E7B" w:rsidRPr="002F10F7">
        <w:t xml:space="preserve"> the defendant’s denial </w:t>
      </w:r>
      <w:r w:rsidR="00735F19" w:rsidRPr="002F10F7">
        <w:t>before the grand jur</w:t>
      </w:r>
      <w:r w:rsidR="008B63E7" w:rsidRPr="002F10F7">
        <w:t xml:space="preserve">y </w:t>
      </w:r>
      <w:r w:rsidR="002F10F7" w:rsidRPr="002F10F7">
        <w:t xml:space="preserve">that he attended </w:t>
      </w:r>
      <w:r w:rsidR="006F4E7B" w:rsidRPr="002F10F7">
        <w:t xml:space="preserve">a meeting </w:t>
      </w:r>
      <w:r w:rsidR="00CC6D58" w:rsidRPr="002F10F7">
        <w:t xml:space="preserve">of several police officers who obtained the questions </w:t>
      </w:r>
      <w:r w:rsidR="00C62BE5" w:rsidRPr="002F10F7">
        <w:t>to an upcoming police promotional exam</w:t>
      </w:r>
      <w:r w:rsidR="002F10F7" w:rsidRPr="002F10F7">
        <w:t>,</w:t>
      </w:r>
      <w:r w:rsidR="00C62BE5" w:rsidRPr="002F10F7">
        <w:t xml:space="preserve"> </w:t>
      </w:r>
      <w:r w:rsidR="008A711B" w:rsidRPr="002F10F7">
        <w:t xml:space="preserve">the </w:t>
      </w:r>
      <w:r w:rsidR="002F10F7" w:rsidRPr="002F10F7">
        <w:t>C</w:t>
      </w:r>
      <w:r w:rsidR="008A711B" w:rsidRPr="002F10F7">
        <w:t xml:space="preserve">ourt held that it was proper to admit </w:t>
      </w:r>
      <w:r w:rsidR="00400C15" w:rsidRPr="002F10F7">
        <w:t xml:space="preserve">phone </w:t>
      </w:r>
      <w:r w:rsidR="008A711B" w:rsidRPr="002F10F7">
        <w:t xml:space="preserve">statements of </w:t>
      </w:r>
      <w:r w:rsidR="002F10F7" w:rsidRPr="002F10F7">
        <w:t>an un</w:t>
      </w:r>
      <w:r w:rsidR="009B7412" w:rsidRPr="002F10F7">
        <w:t>a</w:t>
      </w:r>
      <w:r w:rsidR="002F10F7" w:rsidRPr="002F10F7">
        <w:t>vailable</w:t>
      </w:r>
      <w:r w:rsidR="009B7412" w:rsidRPr="002F10F7">
        <w:t xml:space="preserve"> police lieutenant</w:t>
      </w:r>
      <w:r w:rsidR="002F10F7" w:rsidRPr="002F10F7">
        <w:t xml:space="preserve"> </w:t>
      </w:r>
      <w:r w:rsidR="004D4814" w:rsidRPr="002F10F7">
        <w:t xml:space="preserve">made to another officer (Lebron) </w:t>
      </w:r>
      <w:r w:rsidR="00400C15" w:rsidRPr="002F10F7">
        <w:t xml:space="preserve">who </w:t>
      </w:r>
      <w:r w:rsidR="00DC1FF1" w:rsidRPr="002F10F7">
        <w:t xml:space="preserve">“accidentally” taped the conversation. </w:t>
      </w:r>
    </w:p>
    <w:p w14:paraId="09C500BC" w14:textId="46A08292" w:rsidR="00DD5095" w:rsidRPr="002F10F7" w:rsidRDefault="00F82692" w:rsidP="00E570CA">
      <w:r w:rsidRPr="002F10F7">
        <w:t xml:space="preserve">Officer LeBron testified that </w:t>
      </w:r>
      <w:r w:rsidR="00C26F8E" w:rsidRPr="002F10F7">
        <w:t>o</w:t>
      </w:r>
      <w:r w:rsidR="00A015B1" w:rsidRPr="002F10F7">
        <w:t>n 10/19</w:t>
      </w:r>
      <w:r w:rsidR="00C26F8E" w:rsidRPr="002F10F7">
        <w:t xml:space="preserve">/90, </w:t>
      </w:r>
      <w:r w:rsidR="00A015B1" w:rsidRPr="002F10F7">
        <w:t xml:space="preserve">the </w:t>
      </w:r>
      <w:r w:rsidR="00DB0827" w:rsidRPr="002F10F7">
        <w:t xml:space="preserve">lieutenant informed her that </w:t>
      </w:r>
      <w:r w:rsidR="00E2527E" w:rsidRPr="002F10F7">
        <w:t xml:space="preserve">the </w:t>
      </w:r>
      <w:r w:rsidR="00697FAD" w:rsidRPr="002F10F7">
        <w:t xml:space="preserve">meeting to </w:t>
      </w:r>
      <w:r w:rsidR="00483915" w:rsidRPr="002F10F7">
        <w:t xml:space="preserve">discuss the questions </w:t>
      </w:r>
      <w:r w:rsidR="00E2527E" w:rsidRPr="002F10F7">
        <w:t xml:space="preserve">with her and several </w:t>
      </w:r>
      <w:r w:rsidR="00A507AF" w:rsidRPr="002F10F7">
        <w:t xml:space="preserve">officers would </w:t>
      </w:r>
      <w:r w:rsidR="00E2527E" w:rsidRPr="002F10F7">
        <w:t>take place the following night at the lieutenant’</w:t>
      </w:r>
      <w:r w:rsidR="004A46F3" w:rsidRPr="002F10F7">
        <w:t xml:space="preserve">s </w:t>
      </w:r>
      <w:r w:rsidR="00E2527E" w:rsidRPr="002F10F7">
        <w:t xml:space="preserve">home. </w:t>
      </w:r>
      <w:r w:rsidR="00FD6A9F" w:rsidRPr="002F10F7">
        <w:t xml:space="preserve">In a </w:t>
      </w:r>
      <w:r w:rsidR="00D24E10" w:rsidRPr="002F10F7">
        <w:t xml:space="preserve">follow-up (taped) conversation on 10/20, Lebron </w:t>
      </w:r>
      <w:r w:rsidR="00CA6292" w:rsidRPr="002F10F7">
        <w:t xml:space="preserve">inquired about the time of the impending meeting which had not previously been mentioned. </w:t>
      </w:r>
      <w:r w:rsidR="00E54302" w:rsidRPr="002F10F7">
        <w:t xml:space="preserve">The lieutenant said, “I’ve got Sam (the defendant) and Dave (another officer) </w:t>
      </w:r>
      <w:r w:rsidR="00DB5842" w:rsidRPr="002F10F7">
        <w:t>who are coming over at 11:00 or 12:00</w:t>
      </w:r>
      <w:r w:rsidR="00F61AF3" w:rsidRPr="002F10F7">
        <w:t xml:space="preserve"> o’clock tonight</w:t>
      </w:r>
      <w:r w:rsidR="00574A35" w:rsidRPr="002F10F7">
        <w:t xml:space="preserve"> for what I told you yesterday.” LeBron replied, </w:t>
      </w:r>
      <w:r w:rsidR="008945C0" w:rsidRPr="002F10F7">
        <w:t>“so you’re just go</w:t>
      </w:r>
      <w:r w:rsidR="00F61AF3" w:rsidRPr="002F10F7">
        <w:t>ing to</w:t>
      </w:r>
      <w:r w:rsidR="008945C0" w:rsidRPr="002F10F7">
        <w:t xml:space="preserve"> tell me</w:t>
      </w:r>
      <w:r w:rsidR="00A24813" w:rsidRPr="002F10F7">
        <w:t xml:space="preserve"> (what) to</w:t>
      </w:r>
      <w:r w:rsidR="008945C0" w:rsidRPr="002F10F7">
        <w:t xml:space="preserve"> study, and I’ll study it</w:t>
      </w:r>
      <w:r w:rsidR="00B67997" w:rsidRPr="002F10F7">
        <w:t>” to which the</w:t>
      </w:r>
      <w:r w:rsidR="008945C0" w:rsidRPr="002F10F7">
        <w:t xml:space="preserve"> l</w:t>
      </w:r>
      <w:r w:rsidR="00B67997" w:rsidRPr="002F10F7">
        <w:t>ieutenant said, “yes.”</w:t>
      </w:r>
    </w:p>
    <w:p w14:paraId="39F7352B" w14:textId="4BB72FFD" w:rsidR="005D6834" w:rsidRPr="002F10F7" w:rsidRDefault="005D6834" w:rsidP="00E570CA">
      <w:r w:rsidRPr="002F10F7">
        <w:t xml:space="preserve">Over objection, the trial court admitted the </w:t>
      </w:r>
      <w:r w:rsidR="004F5A5A" w:rsidRPr="002F10F7">
        <w:t xml:space="preserve">10/19 conversation </w:t>
      </w:r>
      <w:r w:rsidR="000E2F6C" w:rsidRPr="002F10F7">
        <w:t>under the state-of-mind exception</w:t>
      </w:r>
      <w:r w:rsidR="008E2019" w:rsidRPr="002F10F7">
        <w:t>, ultimately to show that the lieutenant’s</w:t>
      </w:r>
      <w:r w:rsidR="00190D23" w:rsidRPr="002F10F7">
        <w:t xml:space="preserve"> expressed</w:t>
      </w:r>
      <w:r w:rsidR="008E2019" w:rsidRPr="002F10F7">
        <w:t xml:space="preserve"> intent (to hold the meeting</w:t>
      </w:r>
      <w:r w:rsidR="008536EE" w:rsidRPr="002F10F7">
        <w:t xml:space="preserve"> which includ</w:t>
      </w:r>
      <w:r w:rsidR="00635A44" w:rsidRPr="002F10F7">
        <w:t>ed the defendant)</w:t>
      </w:r>
      <w:r w:rsidR="008E2019" w:rsidRPr="002F10F7">
        <w:t xml:space="preserve"> </w:t>
      </w:r>
      <w:r w:rsidR="00D60680" w:rsidRPr="002F10F7">
        <w:t>contradicted the defendant’s grand jury testimony that there was no such meeting</w:t>
      </w:r>
      <w:r w:rsidR="006944D4" w:rsidRPr="002F10F7">
        <w:t xml:space="preserve">. </w:t>
      </w:r>
    </w:p>
    <w:p w14:paraId="4CE13E32" w14:textId="53CDBF53" w:rsidR="00894B4A" w:rsidRPr="002F10F7" w:rsidRDefault="00635A44" w:rsidP="00E570CA">
      <w:r w:rsidRPr="002F10F7">
        <w:t xml:space="preserve">The defendant argued on </w:t>
      </w:r>
      <w:r w:rsidR="00DC35BE" w:rsidRPr="002F10F7">
        <w:t>appeal that the statement should not have been admitted (at least not insofar as it implicated the defendant’s</w:t>
      </w:r>
      <w:r w:rsidR="00FA179C" w:rsidRPr="002F10F7">
        <w:t xml:space="preserve"> </w:t>
      </w:r>
      <w:r w:rsidR="000B65BD" w:rsidRPr="002F10F7">
        <w:t>alleged intent to</w:t>
      </w:r>
      <w:r w:rsidR="00DC35BE" w:rsidRPr="002F10F7">
        <w:t xml:space="preserve"> </w:t>
      </w:r>
      <w:r w:rsidR="000B65BD" w:rsidRPr="002F10F7">
        <w:t>a</w:t>
      </w:r>
      <w:r w:rsidR="00FC06C3" w:rsidRPr="002F10F7">
        <w:t>ttend</w:t>
      </w:r>
      <w:r w:rsidR="000B65BD" w:rsidRPr="002F10F7">
        <w:t xml:space="preserve"> the meeting</w:t>
      </w:r>
      <w:r w:rsidR="00DC35BE" w:rsidRPr="002F10F7">
        <w:t xml:space="preserve">), </w:t>
      </w:r>
      <w:r w:rsidR="00FC06C3" w:rsidRPr="002F10F7">
        <w:t xml:space="preserve">but </w:t>
      </w:r>
      <w:r w:rsidR="00190D23" w:rsidRPr="002F10F7">
        <w:t xml:space="preserve">the </w:t>
      </w:r>
      <w:r w:rsidR="00121CE7" w:rsidRPr="002F10F7">
        <w:t xml:space="preserve">Court </w:t>
      </w:r>
      <w:r w:rsidR="00994106" w:rsidRPr="002F10F7">
        <w:t xml:space="preserve">rejected what it described as the </w:t>
      </w:r>
      <w:r w:rsidR="001D1C76" w:rsidRPr="002F10F7">
        <w:t xml:space="preserve">defendant’s </w:t>
      </w:r>
      <w:r w:rsidR="00994106" w:rsidRPr="002F10F7">
        <w:t xml:space="preserve">limited interpretation of </w:t>
      </w:r>
      <w:r w:rsidR="00803963" w:rsidRPr="002F10F7">
        <w:rPr>
          <w:i/>
          <w:iCs/>
        </w:rPr>
        <w:t>Hillmon</w:t>
      </w:r>
      <w:r w:rsidR="00803963" w:rsidRPr="002F10F7">
        <w:t>.</w:t>
      </w:r>
    </w:p>
    <w:p w14:paraId="361B89B8" w14:textId="5A5AC8B9" w:rsidR="00635A44" w:rsidRPr="002F10F7" w:rsidRDefault="00803963" w:rsidP="00E570CA">
      <w:r w:rsidRPr="002F10F7">
        <w:t xml:space="preserve"> </w:t>
      </w:r>
      <w:r w:rsidR="000C320A" w:rsidRPr="002F10F7">
        <w:t xml:space="preserve">In the Court’s view, </w:t>
      </w:r>
      <w:r w:rsidR="00502E4B" w:rsidRPr="002F10F7">
        <w:t xml:space="preserve">since the defendant was </w:t>
      </w:r>
      <w:r w:rsidR="00355931" w:rsidRPr="002F10F7">
        <w:t xml:space="preserve">charged with lying to the grand jury about </w:t>
      </w:r>
      <w:r w:rsidR="00894B4A" w:rsidRPr="002F10F7">
        <w:t xml:space="preserve">his alleged </w:t>
      </w:r>
      <w:r w:rsidR="009B18E9" w:rsidRPr="002F10F7">
        <w:t>joint action with the lieutenant, Lebron (and other</w:t>
      </w:r>
      <w:r w:rsidR="00A50A27" w:rsidRPr="002F10F7">
        <w:t xml:space="preserve"> </w:t>
      </w:r>
      <w:r w:rsidR="004408EE" w:rsidRPr="002F10F7">
        <w:t xml:space="preserve">officers) </w:t>
      </w:r>
      <w:r w:rsidR="00F46ECB" w:rsidRPr="002F10F7">
        <w:t xml:space="preserve">at Gordon’s home, </w:t>
      </w:r>
      <w:r w:rsidR="00326580" w:rsidRPr="002F10F7">
        <w:t>the lieuten</w:t>
      </w:r>
      <w:r w:rsidR="00DD79ED" w:rsidRPr="002F10F7">
        <w:t>ant’s statement of future intent and subsequent actions</w:t>
      </w:r>
      <w:r w:rsidR="00B873A6" w:rsidRPr="002F10F7">
        <w:t xml:space="preserve"> at the meeting (i.e.</w:t>
      </w:r>
      <w:r w:rsidR="00FF77D5" w:rsidRPr="002F10F7">
        <w:t>,</w:t>
      </w:r>
      <w:r w:rsidR="00B873A6" w:rsidRPr="002F10F7">
        <w:t xml:space="preserve"> disclosing the questions)</w:t>
      </w:r>
      <w:r w:rsidR="006E6FBA" w:rsidRPr="002F10F7">
        <w:t>, in essence, “put the lie” on the defendant’s sworn denial.</w:t>
      </w:r>
      <w:r w:rsidR="006B4231" w:rsidRPr="002F10F7">
        <w:t xml:space="preserve"> Without the statements setting up th</w:t>
      </w:r>
      <w:r w:rsidR="00A50A27" w:rsidRPr="002F10F7">
        <w:t xml:space="preserve">e </w:t>
      </w:r>
      <w:r w:rsidR="006B4231" w:rsidRPr="002F10F7">
        <w:t>meeting and its intended purpose, the defendant’s statement would have no meaning.</w:t>
      </w:r>
    </w:p>
    <w:p w14:paraId="7A06CC6D" w14:textId="31302DA1" w:rsidR="004408EE" w:rsidRPr="002F10F7" w:rsidRDefault="007618B6" w:rsidP="00E570CA">
      <w:r w:rsidRPr="002F10F7">
        <w:t>The Court was also not d</w:t>
      </w:r>
      <w:r w:rsidR="000D188B" w:rsidRPr="002F10F7">
        <w:t xml:space="preserve">eterred </w:t>
      </w:r>
      <w:r w:rsidRPr="002F10F7">
        <w:t xml:space="preserve">by the fact that </w:t>
      </w:r>
      <w:r w:rsidR="007C5735" w:rsidRPr="002F10F7">
        <w:t>the lieutenant statements</w:t>
      </w:r>
      <w:r w:rsidR="00F80D06" w:rsidRPr="002F10F7">
        <w:t xml:space="preserve"> to LeBron</w:t>
      </w:r>
      <w:r w:rsidR="007C5735" w:rsidRPr="002F10F7">
        <w:t xml:space="preserve"> impli</w:t>
      </w:r>
      <w:r w:rsidR="00147F6B" w:rsidRPr="002F10F7">
        <w:t xml:space="preserve">ed a similar intent on the defendant’s part or that the 10/20 phone conversation </w:t>
      </w:r>
      <w:r w:rsidR="005B0A15" w:rsidRPr="002F10F7">
        <w:t xml:space="preserve">referenced </w:t>
      </w:r>
      <w:r w:rsidR="000F436A" w:rsidRPr="002F10F7">
        <w:t>a</w:t>
      </w:r>
      <w:r w:rsidR="005B0A15" w:rsidRPr="002F10F7">
        <w:t xml:space="preserve"> previous conversation </w:t>
      </w:r>
      <w:r w:rsidR="00BE2F0F" w:rsidRPr="002F10F7">
        <w:t xml:space="preserve">(from </w:t>
      </w:r>
      <w:r w:rsidR="005B0A15" w:rsidRPr="002F10F7">
        <w:t>the day before</w:t>
      </w:r>
      <w:r w:rsidR="00F367A4" w:rsidRPr="002F10F7">
        <w:t>).</w:t>
      </w:r>
      <w:r w:rsidR="005B0A15" w:rsidRPr="002F10F7">
        <w:t xml:space="preserve"> </w:t>
      </w:r>
      <w:r w:rsidR="00582DB7" w:rsidRPr="002F10F7">
        <w:t xml:space="preserve">Just as Walter’s </w:t>
      </w:r>
      <w:r w:rsidR="00D87941" w:rsidRPr="002F10F7">
        <w:t xml:space="preserve">letters in </w:t>
      </w:r>
      <w:r w:rsidR="00D87941" w:rsidRPr="002F10F7">
        <w:rPr>
          <w:i/>
          <w:iCs/>
        </w:rPr>
        <w:t>Hillmon</w:t>
      </w:r>
      <w:r w:rsidR="00D87941" w:rsidRPr="002F10F7">
        <w:t xml:space="preserve"> </w:t>
      </w:r>
      <w:r w:rsidR="00E64C0A" w:rsidRPr="002F10F7">
        <w:t xml:space="preserve">were </w:t>
      </w:r>
      <w:r w:rsidR="00B30BC4" w:rsidRPr="002F10F7">
        <w:t xml:space="preserve">ultimately deemed admissible to </w:t>
      </w:r>
      <w:r w:rsidR="00AF44FA" w:rsidRPr="002F10F7">
        <w:t>prove the subsequent conduct o</w:t>
      </w:r>
      <w:r w:rsidR="00E91EA4" w:rsidRPr="002F10F7">
        <w:t>f</w:t>
      </w:r>
      <w:r w:rsidR="00AF44FA" w:rsidRPr="002F10F7">
        <w:t xml:space="preserve"> BOTH Walter</w:t>
      </w:r>
      <w:r w:rsidR="00D84CDE" w:rsidRPr="002F10F7">
        <w:t>s</w:t>
      </w:r>
      <w:r w:rsidR="00AF44FA" w:rsidRPr="002F10F7">
        <w:t xml:space="preserve"> and Hillmon, so too </w:t>
      </w:r>
      <w:r w:rsidR="005F2D50" w:rsidRPr="002F10F7">
        <w:t xml:space="preserve">were the lieutenant’s statements admitted </w:t>
      </w:r>
      <w:proofErr w:type="gramStart"/>
      <w:r w:rsidR="005F2D50" w:rsidRPr="002F10F7">
        <w:t>to prove</w:t>
      </w:r>
      <w:proofErr w:type="gramEnd"/>
      <w:r w:rsidR="005F2D50" w:rsidRPr="002F10F7">
        <w:t xml:space="preserve"> not only his but also the defendant’s participation </w:t>
      </w:r>
      <w:r w:rsidR="00630F5B" w:rsidRPr="002F10F7">
        <w:t xml:space="preserve">(to establish the falsehood of his denial). </w:t>
      </w:r>
    </w:p>
    <w:p w14:paraId="40633349" w14:textId="64A35856" w:rsidR="00751CA9" w:rsidRPr="002F10F7" w:rsidRDefault="00751CA9" w:rsidP="00E570CA">
      <w:r w:rsidRPr="002F10F7">
        <w:lastRenderedPageBreak/>
        <w:t xml:space="preserve">As the Court observed, </w:t>
      </w:r>
      <w:r w:rsidR="009F207B" w:rsidRPr="002F10F7">
        <w:t xml:space="preserve">“once the declaration </w:t>
      </w:r>
      <w:r w:rsidR="00EC5B34" w:rsidRPr="002F10F7">
        <w:t>of intent is admitte</w:t>
      </w:r>
      <w:r w:rsidR="00E419E2" w:rsidRPr="002F10F7">
        <w:t xml:space="preserve">d to prove the declarant’s act, there is no good reason to automatically exclude </w:t>
      </w:r>
      <w:r w:rsidR="00A70225" w:rsidRPr="002F10F7">
        <w:t xml:space="preserve">a declaration of joint actions with a named defendant </w:t>
      </w:r>
      <w:r w:rsidR="00345E45" w:rsidRPr="002F10F7">
        <w:t>just because it expressly or impliedly refers to a prior arrangement</w:t>
      </w:r>
      <w:r w:rsidR="008C3001" w:rsidRPr="002F10F7">
        <w:t xml:space="preserve"> with the defendant” </w:t>
      </w:r>
      <w:r w:rsidR="00011BF6" w:rsidRPr="002F10F7">
        <w:t>(</w:t>
      </w:r>
      <w:r w:rsidR="00F61AF3" w:rsidRPr="002F10F7">
        <w:t>c</w:t>
      </w:r>
      <w:r w:rsidR="00011BF6" w:rsidRPr="002F10F7">
        <w:t xml:space="preserve">iting, inter alia, </w:t>
      </w:r>
      <w:proofErr w:type="spellStart"/>
      <w:r w:rsidR="006D4EC0" w:rsidRPr="002F10F7">
        <w:rPr>
          <w:i/>
          <w:iCs/>
        </w:rPr>
        <w:t>Bourjaily</w:t>
      </w:r>
      <w:proofErr w:type="spellEnd"/>
      <w:r w:rsidR="006D4EC0" w:rsidRPr="002F10F7">
        <w:rPr>
          <w:i/>
          <w:iCs/>
        </w:rPr>
        <w:t xml:space="preserve"> </w:t>
      </w:r>
      <w:r w:rsidR="00011BF6" w:rsidRPr="002F10F7">
        <w:rPr>
          <w:i/>
          <w:iCs/>
        </w:rPr>
        <w:t>v U</w:t>
      </w:r>
      <w:r w:rsidR="00F61AF3" w:rsidRPr="002F10F7">
        <w:rPr>
          <w:i/>
          <w:iCs/>
        </w:rPr>
        <w:t xml:space="preserve">nited </w:t>
      </w:r>
      <w:r w:rsidR="00011BF6" w:rsidRPr="002F10F7">
        <w:rPr>
          <w:i/>
          <w:iCs/>
        </w:rPr>
        <w:t>S</w:t>
      </w:r>
      <w:r w:rsidR="00F61AF3" w:rsidRPr="002F10F7">
        <w:rPr>
          <w:i/>
          <w:iCs/>
        </w:rPr>
        <w:t>tates</w:t>
      </w:r>
      <w:r w:rsidR="00011BF6" w:rsidRPr="002F10F7">
        <w:t>,</w:t>
      </w:r>
      <w:r w:rsidR="00F61AF3" w:rsidRPr="002F10F7">
        <w:t xml:space="preserve"> </w:t>
      </w:r>
      <w:r w:rsidR="00007FF4" w:rsidRPr="002F10F7">
        <w:t>483 US 171 [</w:t>
      </w:r>
      <w:r w:rsidR="001F0D5A" w:rsidRPr="002F10F7">
        <w:t>1987]</w:t>
      </w:r>
      <w:r w:rsidR="00F27340" w:rsidRPr="002F10F7">
        <w:t xml:space="preserve">: </w:t>
      </w:r>
      <w:r w:rsidR="00122102" w:rsidRPr="002F10F7">
        <w:t xml:space="preserve">statement of a co-conspirator </w:t>
      </w:r>
      <w:r w:rsidR="00BF0814" w:rsidRPr="002F10F7">
        <w:t xml:space="preserve">declaring his intent to meet the defendant to do a drug deal at a particular </w:t>
      </w:r>
      <w:r w:rsidR="00503205" w:rsidRPr="002F10F7">
        <w:t>location deemed admissible</w:t>
      </w:r>
      <w:r w:rsidR="000779FF" w:rsidRPr="002F10F7">
        <w:t>).</w:t>
      </w:r>
    </w:p>
    <w:p w14:paraId="6D4DA404" w14:textId="5348C92F" w:rsidR="00D573C5" w:rsidRPr="002F10F7" w:rsidRDefault="00D573C5" w:rsidP="00E570CA">
      <w:r w:rsidRPr="002F10F7">
        <w:t xml:space="preserve">The Court was satisfied that the </w:t>
      </w:r>
      <w:r w:rsidR="00233D00" w:rsidRPr="002F10F7">
        <w:t xml:space="preserve">prior conversation was sufficiently recent and based on </w:t>
      </w:r>
      <w:r w:rsidR="00D650FA" w:rsidRPr="002F10F7">
        <w:t>personal knowledge (</w:t>
      </w:r>
      <w:r w:rsidR="00890F3B" w:rsidRPr="002F10F7">
        <w:t>e.g.,</w:t>
      </w:r>
      <w:r w:rsidR="008F20B4" w:rsidRPr="002F10F7">
        <w:t xml:space="preserve"> “I’ve</w:t>
      </w:r>
      <w:r w:rsidR="00D650FA" w:rsidRPr="002F10F7">
        <w:t xml:space="preserve"> got</w:t>
      </w:r>
      <w:r w:rsidR="008F20B4" w:rsidRPr="002F10F7">
        <w:t xml:space="preserve"> Sam</w:t>
      </w:r>
      <w:r w:rsidR="00D650FA" w:rsidRPr="002F10F7">
        <w:t xml:space="preserve"> and Dave</w:t>
      </w:r>
      <w:r w:rsidR="0049560F" w:rsidRPr="002F10F7">
        <w:t xml:space="preserve"> who will </w:t>
      </w:r>
      <w:r w:rsidR="007E5D73" w:rsidRPr="002F10F7">
        <w:t>be over at 11:00-12:00</w:t>
      </w:r>
      <w:r w:rsidR="00890F3B" w:rsidRPr="002F10F7">
        <w:t xml:space="preserve"> o’clock</w:t>
      </w:r>
      <w:r w:rsidR="007E5D73" w:rsidRPr="002F10F7">
        <w:t xml:space="preserve">”), </w:t>
      </w:r>
      <w:r w:rsidR="003C737E" w:rsidRPr="002F10F7">
        <w:t xml:space="preserve">and there was independent evidence of reliability (e.g., LeBron was </w:t>
      </w:r>
      <w:r w:rsidR="00910806" w:rsidRPr="002F10F7">
        <w:t xml:space="preserve">also there), to provide a sufficient foundation for admissibility of </w:t>
      </w:r>
      <w:r w:rsidR="00832BF5" w:rsidRPr="002F10F7">
        <w:t>the statements from this unavailable witness.</w:t>
      </w:r>
    </w:p>
    <w:p w14:paraId="5A696DE7" w14:textId="55C5B907" w:rsidR="00832BF5" w:rsidRPr="002F10F7" w:rsidRDefault="00832BF5" w:rsidP="00E570CA">
      <w:r w:rsidRPr="002F10F7">
        <w:t xml:space="preserve">The Court also deemed admissible </w:t>
      </w:r>
      <w:r w:rsidR="00F42E5C" w:rsidRPr="002F10F7">
        <w:t>(</w:t>
      </w:r>
      <w:r w:rsidRPr="002F10F7">
        <w:t>as a declaration against penal interest</w:t>
      </w:r>
      <w:r w:rsidR="00F42E5C" w:rsidRPr="002F10F7">
        <w:t xml:space="preserve">) </w:t>
      </w:r>
      <w:r w:rsidR="00485175" w:rsidRPr="002F10F7">
        <w:t xml:space="preserve">taped </w:t>
      </w:r>
      <w:r w:rsidR="008E54D5" w:rsidRPr="002F10F7">
        <w:t xml:space="preserve">phone </w:t>
      </w:r>
      <w:r w:rsidR="00F42E5C" w:rsidRPr="002F10F7">
        <w:t xml:space="preserve">statements made by the lieutenant </w:t>
      </w:r>
      <w:r w:rsidR="002C1C14" w:rsidRPr="002F10F7">
        <w:t xml:space="preserve">to Lebron the next day wherein he told her to </w:t>
      </w:r>
      <w:r w:rsidR="00072CED" w:rsidRPr="002F10F7">
        <w:t xml:space="preserve">turn over her meeting notes </w:t>
      </w:r>
      <w:r w:rsidR="00BC34F5" w:rsidRPr="002F10F7">
        <w:t xml:space="preserve">to the defendant or another officer. </w:t>
      </w:r>
      <w:r w:rsidR="008E54D5" w:rsidRPr="002F10F7">
        <w:t xml:space="preserve">This occurred after the lieutenant </w:t>
      </w:r>
      <w:r w:rsidR="00C811EB" w:rsidRPr="002F10F7">
        <w:t xml:space="preserve">was confronted by </w:t>
      </w:r>
      <w:r w:rsidR="006A6295" w:rsidRPr="002F10F7">
        <w:t xml:space="preserve">LeBron’s boyfriend </w:t>
      </w:r>
      <w:r w:rsidR="00C811EB" w:rsidRPr="002F10F7">
        <w:t xml:space="preserve">who accused him </w:t>
      </w:r>
      <w:r w:rsidR="0000649F" w:rsidRPr="002F10F7">
        <w:t xml:space="preserve">(following a claim by LeBron) </w:t>
      </w:r>
      <w:r w:rsidR="00927B41" w:rsidRPr="002F10F7">
        <w:t xml:space="preserve">that he had come on to her at the meeting. </w:t>
      </w:r>
      <w:r w:rsidR="00F452D7" w:rsidRPr="002F10F7">
        <w:t xml:space="preserve">After the </w:t>
      </w:r>
      <w:r w:rsidR="00927B41" w:rsidRPr="002F10F7">
        <w:t>lie</w:t>
      </w:r>
      <w:r w:rsidR="003F46A2" w:rsidRPr="002F10F7">
        <w:t xml:space="preserve">utenant “inadvertently” revealed the </w:t>
      </w:r>
      <w:r w:rsidR="004D128E" w:rsidRPr="002F10F7">
        <w:t xml:space="preserve">fact of the </w:t>
      </w:r>
      <w:r w:rsidR="003F46A2" w:rsidRPr="002F10F7">
        <w:t>cheating session to the boyfriend,</w:t>
      </w:r>
      <w:r w:rsidR="000B14B8" w:rsidRPr="002F10F7">
        <w:t xml:space="preserve"> he called LeBron in a </w:t>
      </w:r>
      <w:r w:rsidR="004D128E" w:rsidRPr="002F10F7">
        <w:t xml:space="preserve">panic </w:t>
      </w:r>
      <w:r w:rsidR="000B14B8" w:rsidRPr="002F10F7">
        <w:t xml:space="preserve">and </w:t>
      </w:r>
      <w:r w:rsidR="007E73B1" w:rsidRPr="002F10F7">
        <w:t>instructed her to hand off her notes</w:t>
      </w:r>
      <w:r w:rsidR="00F766A6" w:rsidRPr="002F10F7">
        <w:t xml:space="preserve"> (</w:t>
      </w:r>
      <w:r w:rsidR="00890F3B" w:rsidRPr="002F10F7">
        <w:t>s</w:t>
      </w:r>
      <w:r w:rsidR="00F766A6" w:rsidRPr="002F10F7">
        <w:t>ee Advisory Rule 8.</w:t>
      </w:r>
      <w:r w:rsidR="00650162" w:rsidRPr="002F10F7">
        <w:t xml:space="preserve">11). </w:t>
      </w:r>
    </w:p>
    <w:p w14:paraId="26B6C081" w14:textId="43253F9C" w:rsidR="004D128E" w:rsidRPr="002F10F7" w:rsidRDefault="00EF3525" w:rsidP="00E570CA">
      <w:r w:rsidRPr="002F10F7">
        <w:t>In contrast</w:t>
      </w:r>
      <w:r w:rsidR="00E156C0" w:rsidRPr="002F10F7">
        <w:t xml:space="preserve">, see </w:t>
      </w:r>
      <w:r w:rsidR="00E156C0" w:rsidRPr="002F10F7">
        <w:rPr>
          <w:i/>
          <w:iCs/>
        </w:rPr>
        <w:t>People v Chambers</w:t>
      </w:r>
      <w:r w:rsidR="00E156C0" w:rsidRPr="002F10F7">
        <w:t xml:space="preserve"> (</w:t>
      </w:r>
      <w:r w:rsidR="00FC33DF" w:rsidRPr="002F10F7">
        <w:t>12</w:t>
      </w:r>
      <w:r w:rsidR="00457FD1" w:rsidRPr="002F10F7">
        <w:t>5</w:t>
      </w:r>
      <w:r w:rsidR="00FC33DF" w:rsidRPr="002F10F7">
        <w:t xml:space="preserve"> AD</w:t>
      </w:r>
      <w:r w:rsidR="00457FD1" w:rsidRPr="002F10F7">
        <w:t>2</w:t>
      </w:r>
      <w:r w:rsidR="00FC33DF" w:rsidRPr="002F10F7">
        <w:t>d 88 [</w:t>
      </w:r>
      <w:r w:rsidR="00AC1A6B" w:rsidRPr="002F10F7">
        <w:t>1</w:t>
      </w:r>
      <w:r w:rsidR="00AC1A6B" w:rsidRPr="002F10F7">
        <w:rPr>
          <w:vertAlign w:val="superscript"/>
        </w:rPr>
        <w:t>st</w:t>
      </w:r>
      <w:r w:rsidR="00AC1A6B" w:rsidRPr="002F10F7">
        <w:t xml:space="preserve"> Dept 1987]) </w:t>
      </w:r>
      <w:r w:rsidR="00735E0F" w:rsidRPr="002F10F7">
        <w:t xml:space="preserve">where </w:t>
      </w:r>
      <w:r w:rsidR="00AC1A6B" w:rsidRPr="002F10F7">
        <w:t>the court held that it was error in this ho</w:t>
      </w:r>
      <w:r w:rsidR="0064446F" w:rsidRPr="002F10F7">
        <w:t xml:space="preserve">micide case to admit testimony  from the </w:t>
      </w:r>
      <w:r w:rsidR="00004A15" w:rsidRPr="002F10F7">
        <w:t xml:space="preserve">victim’s  friend that </w:t>
      </w:r>
      <w:r w:rsidR="001A54B0" w:rsidRPr="002F10F7">
        <w:t xml:space="preserve">an hour or so </w:t>
      </w:r>
      <w:r w:rsidR="000C3C5F" w:rsidRPr="002F10F7">
        <w:t xml:space="preserve">before being stabbed to death in her apartment, the victim told him </w:t>
      </w:r>
      <w:r w:rsidR="00406581" w:rsidRPr="002F10F7">
        <w:t xml:space="preserve">that she had received a phone </w:t>
      </w:r>
      <w:r w:rsidR="0088769E" w:rsidRPr="002F10F7">
        <w:t xml:space="preserve">call </w:t>
      </w:r>
      <w:r w:rsidR="00406581" w:rsidRPr="002F10F7">
        <w:t>from her boyfriend (the defendant) who</w:t>
      </w:r>
      <w:r w:rsidR="001030B4" w:rsidRPr="002F10F7">
        <w:t xml:space="preserve"> reportedly</w:t>
      </w:r>
      <w:r w:rsidR="0088769E" w:rsidRPr="002F10F7">
        <w:t xml:space="preserve"> had</w:t>
      </w:r>
      <w:r w:rsidR="001030B4" w:rsidRPr="002F10F7">
        <w:t xml:space="preserve"> said that he planned to visit her </w:t>
      </w:r>
      <w:r w:rsidR="00923214" w:rsidRPr="002F10F7">
        <w:t>that day.</w:t>
      </w:r>
    </w:p>
    <w:p w14:paraId="65F515E3" w14:textId="606304DB" w:rsidR="00923214" w:rsidRPr="002F10F7" w:rsidRDefault="00ED4ECA" w:rsidP="00E570CA">
      <w:r w:rsidRPr="002F10F7">
        <w:t xml:space="preserve">The victim who worked as a </w:t>
      </w:r>
      <w:r w:rsidR="003F34FB" w:rsidRPr="002F10F7">
        <w:t>multi-disciplinary entrepreneur (</w:t>
      </w:r>
      <w:r w:rsidR="0015687E" w:rsidRPr="002F10F7">
        <w:t>bookkeeper, leg waxer and part-time drug dealer</w:t>
      </w:r>
      <w:r w:rsidR="003F34FB" w:rsidRPr="002F10F7">
        <w:t>)</w:t>
      </w:r>
      <w:r w:rsidR="0015687E" w:rsidRPr="002F10F7">
        <w:t>,</w:t>
      </w:r>
      <w:r w:rsidR="00C15576" w:rsidRPr="002F10F7">
        <w:t xml:space="preserve"> asked </w:t>
      </w:r>
      <w:r w:rsidR="00025228" w:rsidRPr="002F10F7">
        <w:t xml:space="preserve">her friend to help remove any </w:t>
      </w:r>
      <w:r w:rsidR="008275DB" w:rsidRPr="002F10F7">
        <w:t>pills and bags with drug residue</w:t>
      </w:r>
      <w:r w:rsidR="008B0804" w:rsidRPr="002F10F7">
        <w:t xml:space="preserve"> from her </w:t>
      </w:r>
      <w:r w:rsidR="007E1279" w:rsidRPr="002F10F7">
        <w:t xml:space="preserve">apartment because </w:t>
      </w:r>
      <w:r w:rsidR="008275DB" w:rsidRPr="002F10F7">
        <w:t xml:space="preserve">she feared that the defendant would frame her. </w:t>
      </w:r>
    </w:p>
    <w:p w14:paraId="79BE0262" w14:textId="51BE2E15" w:rsidR="006E6FBA" w:rsidRPr="002F10F7" w:rsidRDefault="007E1D1D" w:rsidP="00E570CA">
      <w:r w:rsidRPr="002F10F7">
        <w:t xml:space="preserve">Another friend called the victim’s phone several times </w:t>
      </w:r>
      <w:r w:rsidR="00EF6AD7" w:rsidRPr="002F10F7">
        <w:t xml:space="preserve">that day but repeatedly got a busy signal. </w:t>
      </w:r>
      <w:r w:rsidR="009A6C87" w:rsidRPr="002F10F7">
        <w:t xml:space="preserve">The </w:t>
      </w:r>
      <w:r w:rsidR="00EF6AD7" w:rsidRPr="002F10F7">
        <w:t xml:space="preserve">next day, with the help of the building </w:t>
      </w:r>
      <w:r w:rsidR="009D6EDC" w:rsidRPr="002F10F7">
        <w:t xml:space="preserve">super’s </w:t>
      </w:r>
      <w:r w:rsidR="009A6C87" w:rsidRPr="002F10F7">
        <w:t xml:space="preserve">wife, he got into the apartment and found the </w:t>
      </w:r>
      <w:r w:rsidR="00915BCA" w:rsidRPr="002F10F7">
        <w:t xml:space="preserve">victim’s dead </w:t>
      </w:r>
      <w:r w:rsidR="009A6C87" w:rsidRPr="002F10F7">
        <w:t xml:space="preserve">body on the living room </w:t>
      </w:r>
      <w:r w:rsidR="00BB57EF" w:rsidRPr="002F10F7">
        <w:t xml:space="preserve">floor. Police were summoned and found </w:t>
      </w:r>
      <w:r w:rsidR="00CC1E30" w:rsidRPr="002F10F7">
        <w:t xml:space="preserve">a pillow and paper bag over the victim’s head, </w:t>
      </w:r>
      <w:r w:rsidR="00E22DB4" w:rsidRPr="002F10F7">
        <w:t>and</w:t>
      </w:r>
      <w:r w:rsidR="009D6EDC" w:rsidRPr="002F10F7">
        <w:t xml:space="preserve"> her wrists were</w:t>
      </w:r>
      <w:r w:rsidR="00E22DB4" w:rsidRPr="002F10F7">
        <w:t xml:space="preserve"> </w:t>
      </w:r>
      <w:r w:rsidR="00CC1E30" w:rsidRPr="002F10F7">
        <w:t>blood</w:t>
      </w:r>
      <w:r w:rsidR="009D6EDC" w:rsidRPr="002F10F7">
        <w:t>ied,</w:t>
      </w:r>
      <w:r w:rsidR="00CC1E30" w:rsidRPr="002F10F7">
        <w:t xml:space="preserve"> (slit while she was still alive)</w:t>
      </w:r>
      <w:r w:rsidR="009A55D9" w:rsidRPr="002F10F7">
        <w:t xml:space="preserve">. The cause of death was determined to be </w:t>
      </w:r>
      <w:r w:rsidR="00E14676" w:rsidRPr="002F10F7">
        <w:t>a</w:t>
      </w:r>
      <w:r w:rsidR="002A39FD" w:rsidRPr="002F10F7">
        <w:t xml:space="preserve"> </w:t>
      </w:r>
      <w:r w:rsidR="00E14676" w:rsidRPr="002F10F7">
        <w:t xml:space="preserve">head wound and asphyxiation. </w:t>
      </w:r>
    </w:p>
    <w:p w14:paraId="77C2AFFB" w14:textId="26EAF056" w:rsidR="004D477E" w:rsidRPr="002F10F7" w:rsidRDefault="00E14676" w:rsidP="00E570CA">
      <w:r w:rsidRPr="002F10F7">
        <w:t>The apartment door was locked and there was no sign of forced entry.</w:t>
      </w:r>
      <w:r w:rsidR="003D6211" w:rsidRPr="002F10F7">
        <w:t xml:space="preserve"> There was blood </w:t>
      </w:r>
      <w:r w:rsidR="00EE562F" w:rsidRPr="002F10F7">
        <w:t>(from the victim)</w:t>
      </w:r>
      <w:r w:rsidR="002A39FD" w:rsidRPr="002F10F7">
        <w:t xml:space="preserve"> </w:t>
      </w:r>
      <w:r w:rsidR="003D6211" w:rsidRPr="002F10F7">
        <w:t>on the refrigerator door</w:t>
      </w:r>
      <w:r w:rsidR="003367CF" w:rsidRPr="002F10F7">
        <w:t>, on cabinet drawers</w:t>
      </w:r>
      <w:r w:rsidR="002A39FD" w:rsidRPr="002F10F7">
        <w:t>,</w:t>
      </w:r>
      <w:r w:rsidR="003367CF" w:rsidRPr="002F10F7">
        <w:t xml:space="preserve"> and on </w:t>
      </w:r>
      <w:r w:rsidR="003940E0" w:rsidRPr="002F10F7">
        <w:t>t</w:t>
      </w:r>
      <w:r w:rsidR="003367CF" w:rsidRPr="002F10F7">
        <w:t>he</w:t>
      </w:r>
      <w:r w:rsidR="003940E0" w:rsidRPr="002F10F7">
        <w:t xml:space="preserve"> kitchen</w:t>
      </w:r>
      <w:r w:rsidR="003367CF" w:rsidRPr="002F10F7">
        <w:t xml:space="preserve"> counter. </w:t>
      </w:r>
      <w:r w:rsidR="003940E0" w:rsidRPr="002F10F7">
        <w:t>A</w:t>
      </w:r>
      <w:r w:rsidR="007C11A5" w:rsidRPr="002F10F7">
        <w:t xml:space="preserve"> palm print was found by </w:t>
      </w:r>
      <w:r w:rsidR="00BA741B" w:rsidRPr="002F10F7">
        <w:t xml:space="preserve">some </w:t>
      </w:r>
      <w:r w:rsidR="007C11A5" w:rsidRPr="002F10F7">
        <w:t xml:space="preserve">blood </w:t>
      </w:r>
      <w:proofErr w:type="gramStart"/>
      <w:r w:rsidR="007C11A5" w:rsidRPr="002F10F7">
        <w:t>spatter</w:t>
      </w:r>
      <w:proofErr w:type="gramEnd"/>
      <w:r w:rsidR="007C11A5" w:rsidRPr="002F10F7">
        <w:t xml:space="preserve"> on the door</w:t>
      </w:r>
      <w:r w:rsidR="00862E03" w:rsidRPr="002F10F7">
        <w:t xml:space="preserve"> </w:t>
      </w:r>
      <w:r w:rsidR="001643CB" w:rsidRPr="002F10F7">
        <w:t>below some smudged fingerprints.</w:t>
      </w:r>
    </w:p>
    <w:p w14:paraId="7A334D0D" w14:textId="550D2819" w:rsidR="00E14676" w:rsidRPr="002F10F7" w:rsidRDefault="001643CB" w:rsidP="00E570CA">
      <w:r w:rsidRPr="002F10F7">
        <w:t>In the bedroom, the drawers of the victim’s je</w:t>
      </w:r>
      <w:r w:rsidR="004D477E" w:rsidRPr="002F10F7">
        <w:t xml:space="preserve">welry case had been rifled and left open. </w:t>
      </w:r>
      <w:r w:rsidR="00EA7F82" w:rsidRPr="002F10F7">
        <w:t xml:space="preserve">A month later, the defendant’s vehicle was located </w:t>
      </w:r>
      <w:r w:rsidR="005270E9" w:rsidRPr="002F10F7">
        <w:t>at an impound garage in Connecticut where the victim’s</w:t>
      </w:r>
      <w:r w:rsidR="00740F40" w:rsidRPr="002F10F7">
        <w:t xml:space="preserve"> gold pocket</w:t>
      </w:r>
      <w:r w:rsidR="005270E9" w:rsidRPr="002F10F7">
        <w:t xml:space="preserve"> watch was found </w:t>
      </w:r>
      <w:r w:rsidR="005E3AB6" w:rsidRPr="002F10F7">
        <w:t>ensconced in the floor carpet when the brake was released</w:t>
      </w:r>
      <w:r w:rsidR="00521A84" w:rsidRPr="002F10F7">
        <w:t>.</w:t>
      </w:r>
    </w:p>
    <w:p w14:paraId="647F449F" w14:textId="07061100" w:rsidR="00521A84" w:rsidRPr="002F10F7" w:rsidRDefault="00BF30B6" w:rsidP="00E570CA">
      <w:r w:rsidRPr="002F10F7">
        <w:t xml:space="preserve">The court began its analysis </w:t>
      </w:r>
      <w:r w:rsidR="009D73AF" w:rsidRPr="002F10F7">
        <w:t xml:space="preserve">by acknowledging the </w:t>
      </w:r>
      <w:r w:rsidR="007D2006" w:rsidRPr="002F10F7">
        <w:t xml:space="preserve">state of mind exception (citing, inter alia, </w:t>
      </w:r>
      <w:r w:rsidR="00A317A9" w:rsidRPr="002F10F7">
        <w:rPr>
          <w:i/>
          <w:iCs/>
        </w:rPr>
        <w:t>U</w:t>
      </w:r>
      <w:r w:rsidR="002A39FD" w:rsidRPr="002F10F7">
        <w:rPr>
          <w:i/>
          <w:iCs/>
        </w:rPr>
        <w:t xml:space="preserve">nited </w:t>
      </w:r>
      <w:r w:rsidR="00A317A9" w:rsidRPr="002F10F7">
        <w:rPr>
          <w:i/>
          <w:iCs/>
        </w:rPr>
        <w:t>S</w:t>
      </w:r>
      <w:r w:rsidR="002A39FD" w:rsidRPr="002F10F7">
        <w:rPr>
          <w:i/>
          <w:iCs/>
        </w:rPr>
        <w:t>tates</w:t>
      </w:r>
      <w:r w:rsidR="00A317A9" w:rsidRPr="002F10F7">
        <w:rPr>
          <w:i/>
          <w:iCs/>
        </w:rPr>
        <w:t xml:space="preserve"> v </w:t>
      </w:r>
      <w:proofErr w:type="spellStart"/>
      <w:r w:rsidR="00A317A9" w:rsidRPr="002F10F7">
        <w:rPr>
          <w:i/>
          <w:iCs/>
        </w:rPr>
        <w:t>Pheaster</w:t>
      </w:r>
      <w:proofErr w:type="spellEnd"/>
      <w:r w:rsidR="00A317A9" w:rsidRPr="002F10F7">
        <w:t>, 544 F2d 353 [</w:t>
      </w:r>
      <w:r w:rsidR="006F00C4" w:rsidRPr="002F10F7">
        <w:t>9</w:t>
      </w:r>
      <w:r w:rsidR="006F00C4" w:rsidRPr="002F10F7">
        <w:rPr>
          <w:vertAlign w:val="superscript"/>
        </w:rPr>
        <w:t>th</w:t>
      </w:r>
      <w:r w:rsidR="006F00C4" w:rsidRPr="002F10F7">
        <w:t xml:space="preserve"> Cir</w:t>
      </w:r>
      <w:r w:rsidR="00A26052" w:rsidRPr="002F10F7">
        <w:t xml:space="preserve">. 1976], </w:t>
      </w:r>
      <w:r w:rsidR="00A26052" w:rsidRPr="002F10F7">
        <w:rPr>
          <w:i/>
          <w:iCs/>
        </w:rPr>
        <w:t>Hillmon</w:t>
      </w:r>
      <w:r w:rsidR="00A26052" w:rsidRPr="002F10F7">
        <w:t xml:space="preserve">, </w:t>
      </w:r>
      <w:r w:rsidR="00A26052" w:rsidRPr="002F10F7">
        <w:rPr>
          <w:i/>
          <w:iCs/>
        </w:rPr>
        <w:t>Hunter,</w:t>
      </w:r>
      <w:r w:rsidR="00A26052" w:rsidRPr="002F10F7">
        <w:t xml:space="preserve"> supra </w:t>
      </w:r>
      <w:r w:rsidR="003C5EA4" w:rsidRPr="002F10F7">
        <w:t xml:space="preserve">and </w:t>
      </w:r>
      <w:r w:rsidR="003C5EA4" w:rsidRPr="002F10F7">
        <w:rPr>
          <w:i/>
          <w:iCs/>
        </w:rPr>
        <w:t>People v Malizia</w:t>
      </w:r>
      <w:r w:rsidR="003C5EA4" w:rsidRPr="002F10F7">
        <w:t>, supra).</w:t>
      </w:r>
    </w:p>
    <w:p w14:paraId="18CC11C3" w14:textId="01395BFE" w:rsidR="003C5EA4" w:rsidRPr="002F10F7" w:rsidRDefault="00D24B7A" w:rsidP="00E570CA">
      <w:r w:rsidRPr="002F10F7">
        <w:t xml:space="preserve">The court noted that </w:t>
      </w:r>
      <w:r w:rsidR="00B565C0" w:rsidRPr="002F10F7">
        <w:t>trustworthiness and</w:t>
      </w:r>
      <w:r w:rsidR="00B46DDE" w:rsidRPr="002F10F7">
        <w:t xml:space="preserve"> </w:t>
      </w:r>
      <w:r w:rsidR="00B565C0" w:rsidRPr="002F10F7">
        <w:t>necessity were keys</w:t>
      </w:r>
      <w:r w:rsidR="00EC3245" w:rsidRPr="002F10F7">
        <w:t xml:space="preserve"> to</w:t>
      </w:r>
      <w:r w:rsidR="00112D07" w:rsidRPr="002F10F7">
        <w:t xml:space="preserve"> </w:t>
      </w:r>
      <w:r w:rsidR="00B565C0" w:rsidRPr="002F10F7">
        <w:t xml:space="preserve">admissibility in those cases </w:t>
      </w:r>
      <w:r w:rsidR="00112D07" w:rsidRPr="002F10F7">
        <w:t>but only</w:t>
      </w:r>
      <w:r w:rsidR="00B46DDE" w:rsidRPr="002F10F7">
        <w:t xml:space="preserve"> because</w:t>
      </w:r>
      <w:r w:rsidR="00112D07" w:rsidRPr="002F10F7">
        <w:t xml:space="preserve"> the strict foundational </w:t>
      </w:r>
      <w:r w:rsidR="00B46DDE" w:rsidRPr="002F10F7">
        <w:t xml:space="preserve">requirements had been satisfied. </w:t>
      </w:r>
      <w:r w:rsidR="00E86F7C" w:rsidRPr="002F10F7">
        <w:t xml:space="preserve">While contingencies other than </w:t>
      </w:r>
      <w:r w:rsidR="008C1A05" w:rsidRPr="002F10F7">
        <w:t xml:space="preserve">the declarant’s </w:t>
      </w:r>
      <w:r w:rsidR="002C03B9" w:rsidRPr="002F10F7">
        <w:t xml:space="preserve">conduct were involved (i.e., the defendant’s </w:t>
      </w:r>
      <w:r w:rsidR="001457B6" w:rsidRPr="002F10F7">
        <w:t>participation as foresh</w:t>
      </w:r>
      <w:r w:rsidR="007B1EF3" w:rsidRPr="002F10F7">
        <w:t>adowed by the declarant)</w:t>
      </w:r>
      <w:r w:rsidR="00B52038" w:rsidRPr="002F10F7">
        <w:t xml:space="preserve">, such </w:t>
      </w:r>
      <w:r w:rsidR="00043345" w:rsidRPr="002F10F7">
        <w:t xml:space="preserve">contingencies were deemed to affect only the weight but not the admissibility </w:t>
      </w:r>
      <w:r w:rsidR="002F00C0" w:rsidRPr="002F10F7">
        <w:t xml:space="preserve">of the </w:t>
      </w:r>
      <w:r w:rsidR="002F00C0" w:rsidRPr="002F10F7">
        <w:lastRenderedPageBreak/>
        <w:t xml:space="preserve">evidence. </w:t>
      </w:r>
      <w:r w:rsidR="00FD7BA2" w:rsidRPr="002F10F7">
        <w:t xml:space="preserve">In </w:t>
      </w:r>
      <w:r w:rsidR="00FD7BA2" w:rsidRPr="002F10F7">
        <w:rPr>
          <w:i/>
          <w:iCs/>
        </w:rPr>
        <w:t>Hunter</w:t>
      </w:r>
      <w:r w:rsidR="00FD7BA2" w:rsidRPr="002F10F7">
        <w:t xml:space="preserve">, a </w:t>
      </w:r>
      <w:r w:rsidR="00E741C2" w:rsidRPr="002F10F7">
        <w:t xml:space="preserve">critical element was the absence of </w:t>
      </w:r>
      <w:r w:rsidR="00EA4983" w:rsidRPr="002F10F7">
        <w:t xml:space="preserve">any indication of any motive to fabricate or </w:t>
      </w:r>
      <w:r w:rsidR="007E3C8D" w:rsidRPr="002F10F7">
        <w:t>intentionally implicate the non-declarant in an</w:t>
      </w:r>
      <w:r w:rsidR="00867AC4" w:rsidRPr="002F10F7">
        <w:t xml:space="preserve">y </w:t>
      </w:r>
      <w:r w:rsidR="007E3C8D" w:rsidRPr="002F10F7">
        <w:t xml:space="preserve">wrongdoing. </w:t>
      </w:r>
      <w:r w:rsidR="00867AC4" w:rsidRPr="002F10F7">
        <w:t>There</w:t>
      </w:r>
      <w:r w:rsidR="004549A8" w:rsidRPr="002F10F7">
        <w:t xml:space="preserve"> were also other </w:t>
      </w:r>
      <w:r w:rsidR="00F6755D" w:rsidRPr="002F10F7">
        <w:t xml:space="preserve">indicia </w:t>
      </w:r>
      <w:r w:rsidR="004549A8" w:rsidRPr="002F10F7">
        <w:t>of the statement’s reliability</w:t>
      </w:r>
      <w:r w:rsidR="00F6755D" w:rsidRPr="002F10F7">
        <w:t>.</w:t>
      </w:r>
    </w:p>
    <w:p w14:paraId="68D9C8A4" w14:textId="362D0FEF" w:rsidR="00F6755D" w:rsidRPr="002F10F7" w:rsidRDefault="00F6755D" w:rsidP="00E570CA">
      <w:r w:rsidRPr="002F10F7">
        <w:t xml:space="preserve">In </w:t>
      </w:r>
      <w:r w:rsidRPr="002F10F7">
        <w:rPr>
          <w:i/>
          <w:iCs/>
        </w:rPr>
        <w:t>Chambers</w:t>
      </w:r>
      <w:r w:rsidRPr="002F10F7">
        <w:t xml:space="preserve">, </w:t>
      </w:r>
      <w:r w:rsidR="004A052E" w:rsidRPr="002F10F7">
        <w:t>however</w:t>
      </w:r>
      <w:r w:rsidRPr="002F10F7">
        <w:t>,</w:t>
      </w:r>
      <w:r w:rsidR="00B050A4" w:rsidRPr="002F10F7">
        <w:t xml:space="preserve"> </w:t>
      </w:r>
      <w:r w:rsidRPr="002F10F7">
        <w:t xml:space="preserve">the court found </w:t>
      </w:r>
      <w:r w:rsidR="00C52D4E" w:rsidRPr="002F10F7">
        <w:t xml:space="preserve">virtually no indicia of reliability to meet the foundational test </w:t>
      </w:r>
      <w:r w:rsidR="00235D94" w:rsidRPr="002F10F7">
        <w:t xml:space="preserve">set </w:t>
      </w:r>
      <w:r w:rsidR="00C52D4E" w:rsidRPr="002F10F7">
        <w:t xml:space="preserve">forth in </w:t>
      </w:r>
      <w:r w:rsidR="00C52D4E" w:rsidRPr="002F10F7">
        <w:rPr>
          <w:i/>
          <w:iCs/>
        </w:rPr>
        <w:t>Malizia</w:t>
      </w:r>
      <w:r w:rsidR="00C52D4E" w:rsidRPr="002F10F7">
        <w:t>, supra</w:t>
      </w:r>
      <w:r w:rsidR="00347C1E" w:rsidRPr="002F10F7">
        <w:t xml:space="preserve">. For starters, the victim’s statement spoke not of her own </w:t>
      </w:r>
      <w:r w:rsidR="002942ED" w:rsidRPr="002F10F7">
        <w:t>intentions (e.g., “I’m going to meet my boyfriend at the lunch hou</w:t>
      </w:r>
      <w:r w:rsidR="0015358F" w:rsidRPr="002F10F7">
        <w:t xml:space="preserve">r”), but </w:t>
      </w:r>
      <w:r w:rsidR="009D0850" w:rsidRPr="002F10F7">
        <w:t xml:space="preserve">only of </w:t>
      </w:r>
      <w:r w:rsidR="0015358F" w:rsidRPr="002F10F7">
        <w:t xml:space="preserve">the defendant’s </w:t>
      </w:r>
      <w:r w:rsidR="007C72F8" w:rsidRPr="002F10F7">
        <w:t>plan, as allegedly expressed by him</w:t>
      </w:r>
      <w:r w:rsidR="00336F67" w:rsidRPr="002F10F7">
        <w:t>,</w:t>
      </w:r>
      <w:r w:rsidR="007C72F8" w:rsidRPr="002F10F7">
        <w:t xml:space="preserve"> to come over to her apartment. </w:t>
      </w:r>
      <w:r w:rsidR="007C3AA3" w:rsidRPr="002F10F7">
        <w:t>Hence, she was no more than a passive recipient of information</w:t>
      </w:r>
      <w:r w:rsidR="00555627" w:rsidRPr="002F10F7">
        <w:t xml:space="preserve"> from another.</w:t>
      </w:r>
    </w:p>
    <w:p w14:paraId="370FAAA9" w14:textId="39259D07" w:rsidR="00C30708" w:rsidRPr="002F10F7" w:rsidRDefault="00FB79D8" w:rsidP="00E570CA">
      <w:r w:rsidRPr="002F10F7">
        <w:t xml:space="preserve">The </w:t>
      </w:r>
      <w:r w:rsidR="00457FD1" w:rsidRPr="002F10F7">
        <w:t>C</w:t>
      </w:r>
      <w:r w:rsidRPr="002F10F7">
        <w:t>ourt noted th</w:t>
      </w:r>
      <w:r w:rsidR="00295E81" w:rsidRPr="002F10F7">
        <w:t xml:space="preserve">at </w:t>
      </w:r>
      <w:r w:rsidRPr="002F10F7">
        <w:t xml:space="preserve">there was no way </w:t>
      </w:r>
      <w:r w:rsidR="00B83CFA" w:rsidRPr="002F10F7">
        <w:t xml:space="preserve">to </w:t>
      </w:r>
      <w:r w:rsidRPr="002F10F7">
        <w:t xml:space="preserve">know the </w:t>
      </w:r>
      <w:r w:rsidR="00295E81" w:rsidRPr="002F10F7">
        <w:t xml:space="preserve">circumstances </w:t>
      </w:r>
      <w:r w:rsidRPr="002F10F7">
        <w:t xml:space="preserve">under which </w:t>
      </w:r>
      <w:r w:rsidR="00615706" w:rsidRPr="002F10F7">
        <w:t xml:space="preserve">the </w:t>
      </w:r>
      <w:r w:rsidRPr="002F10F7">
        <w:t>message was</w:t>
      </w:r>
      <w:r w:rsidR="008077FB" w:rsidRPr="002F10F7">
        <w:t xml:space="preserve"> conveyed, </w:t>
      </w:r>
      <w:r w:rsidR="001941BA" w:rsidRPr="002F10F7">
        <w:t>if it was serious</w:t>
      </w:r>
      <w:r w:rsidR="008077FB" w:rsidRPr="002F10F7">
        <w:t>,</w:t>
      </w:r>
      <w:r w:rsidR="00DE0459" w:rsidRPr="002F10F7">
        <w:t xml:space="preserve"> or </w:t>
      </w:r>
      <w:r w:rsidR="00295E81" w:rsidRPr="002F10F7">
        <w:t>whether the victim heard and reported it correctly</w:t>
      </w:r>
      <w:r w:rsidR="00DE0459" w:rsidRPr="002F10F7">
        <w:t xml:space="preserve">. Moreover, its </w:t>
      </w:r>
      <w:r w:rsidR="004A3288" w:rsidRPr="002F10F7">
        <w:t>sole purpose</w:t>
      </w:r>
      <w:r w:rsidR="00DE0459" w:rsidRPr="002F10F7">
        <w:t xml:space="preserve">, in the </w:t>
      </w:r>
      <w:r w:rsidR="00DA19BA" w:rsidRPr="002F10F7">
        <w:t>court’s</w:t>
      </w:r>
      <w:r w:rsidR="00DE0459" w:rsidRPr="002F10F7">
        <w:t xml:space="preserve"> estimation</w:t>
      </w:r>
      <w:r w:rsidR="00BC0B18" w:rsidRPr="002F10F7">
        <w:t xml:space="preserve">, </w:t>
      </w:r>
      <w:r w:rsidR="004A3288" w:rsidRPr="002F10F7">
        <w:t xml:space="preserve">was to prove the defendant’s </w:t>
      </w:r>
      <w:r w:rsidR="00C30708" w:rsidRPr="002F10F7">
        <w:t>intentions and motivations which were otherwise unknown</w:t>
      </w:r>
      <w:r w:rsidR="008625D3" w:rsidRPr="002F10F7">
        <w:t xml:space="preserve"> and unverifiable.</w:t>
      </w:r>
    </w:p>
    <w:p w14:paraId="1949F400" w14:textId="7305E168" w:rsidR="00FB79D8" w:rsidRPr="002F10F7" w:rsidRDefault="00C30708" w:rsidP="00E570CA">
      <w:r w:rsidRPr="002F10F7">
        <w:t xml:space="preserve">While such </w:t>
      </w:r>
      <w:r w:rsidR="00E07B0D" w:rsidRPr="002F10F7">
        <w:t>statement</w:t>
      </w:r>
      <w:r w:rsidRPr="002F10F7">
        <w:t xml:space="preserve"> may have been admissible </w:t>
      </w:r>
      <w:r w:rsidR="00166178" w:rsidRPr="002F10F7">
        <w:t xml:space="preserve">for </w:t>
      </w:r>
      <w:r w:rsidR="000E23CE" w:rsidRPr="002F10F7">
        <w:t xml:space="preserve">the non-hearsay purpose of explaining </w:t>
      </w:r>
      <w:r w:rsidR="00E07B0D" w:rsidRPr="002F10F7">
        <w:t>its</w:t>
      </w:r>
      <w:r w:rsidR="000E23CE" w:rsidRPr="002F10F7">
        <w:t xml:space="preserve"> effect on the listener (i.e., the victim’s </w:t>
      </w:r>
      <w:r w:rsidR="004655C6" w:rsidRPr="002F10F7">
        <w:t xml:space="preserve">asking her friend to help her remove any traces of drugs from her apartment), they were </w:t>
      </w:r>
      <w:r w:rsidR="00166178" w:rsidRPr="002F10F7">
        <w:t>deemed</w:t>
      </w:r>
      <w:r w:rsidR="00BC0B18" w:rsidRPr="002F10F7">
        <w:t xml:space="preserve"> to be</w:t>
      </w:r>
      <w:r w:rsidR="00166178" w:rsidRPr="002F10F7">
        <w:t xml:space="preserve"> in</w:t>
      </w:r>
      <w:r w:rsidR="00F05DAD" w:rsidRPr="002F10F7">
        <w:t>admissible double hearsay</w:t>
      </w:r>
      <w:r w:rsidR="00457FD1" w:rsidRPr="002F10F7">
        <w:t>.</w:t>
      </w:r>
      <w:r w:rsidR="00F05DAD" w:rsidRPr="002F10F7">
        <w:t xml:space="preserve"> </w:t>
      </w:r>
      <w:r w:rsidR="00295E81" w:rsidRPr="002F10F7">
        <w:t xml:space="preserve">  </w:t>
      </w:r>
    </w:p>
    <w:p w14:paraId="6B1DD264" w14:textId="43A53C6E" w:rsidR="008625D3" w:rsidRPr="002F10F7" w:rsidRDefault="008625D3" w:rsidP="00E570CA">
      <w:r w:rsidRPr="002F10F7">
        <w:t>The dissenting justice (</w:t>
      </w:r>
      <w:r w:rsidR="00C51C4D" w:rsidRPr="002F10F7">
        <w:t xml:space="preserve">Sandler, J.P.), </w:t>
      </w:r>
      <w:r w:rsidR="003102EC" w:rsidRPr="002F10F7">
        <w:t>noted</w:t>
      </w:r>
      <w:r w:rsidR="0099137A" w:rsidRPr="002F10F7">
        <w:t>,</w:t>
      </w:r>
      <w:r w:rsidR="003102EC" w:rsidRPr="002F10F7">
        <w:t xml:space="preserve"> first</w:t>
      </w:r>
      <w:r w:rsidR="0099137A" w:rsidRPr="002F10F7">
        <w:t xml:space="preserve">, </w:t>
      </w:r>
      <w:r w:rsidR="003102EC" w:rsidRPr="002F10F7">
        <w:t xml:space="preserve">that there was </w:t>
      </w:r>
      <w:r w:rsidR="009D2B6E" w:rsidRPr="002F10F7">
        <w:t xml:space="preserve">sufficient circumstantial evidence of guilt including the </w:t>
      </w:r>
      <w:r w:rsidR="00757630" w:rsidRPr="002F10F7">
        <w:t xml:space="preserve">victim’s watch </w:t>
      </w:r>
      <w:r w:rsidR="00477F56" w:rsidRPr="002F10F7">
        <w:t>recovered from the defendant’s vehicle and the defendant’</w:t>
      </w:r>
      <w:r w:rsidR="00457FD1" w:rsidRPr="002F10F7">
        <w:t>s</w:t>
      </w:r>
      <w:r w:rsidR="00477F56" w:rsidRPr="002F10F7">
        <w:t xml:space="preserve"> palm print </w:t>
      </w:r>
      <w:r w:rsidR="00644F24" w:rsidRPr="002F10F7">
        <w:t xml:space="preserve">on </w:t>
      </w:r>
      <w:r w:rsidR="005105A9" w:rsidRPr="002F10F7">
        <w:t>the victim’s refrigerator (a fact not refenced by the majority).</w:t>
      </w:r>
    </w:p>
    <w:p w14:paraId="1DA34AF5" w14:textId="22B4B929" w:rsidR="005105A9" w:rsidRPr="002F10F7" w:rsidRDefault="005D30CB" w:rsidP="00E570CA">
      <w:r w:rsidRPr="002F10F7">
        <w:t>The dissenter also</w:t>
      </w:r>
      <w:r w:rsidR="007855E8" w:rsidRPr="002F10F7">
        <w:t xml:space="preserve"> </w:t>
      </w:r>
      <w:r w:rsidR="001C42C1" w:rsidRPr="002F10F7">
        <w:t xml:space="preserve">indicated </w:t>
      </w:r>
      <w:r w:rsidR="007855E8" w:rsidRPr="002F10F7">
        <w:t xml:space="preserve">the </w:t>
      </w:r>
      <w:r w:rsidR="00C470FC" w:rsidRPr="002F10F7">
        <w:t xml:space="preserve">victim’s report of </w:t>
      </w:r>
      <w:r w:rsidR="001858F6" w:rsidRPr="002F10F7">
        <w:t xml:space="preserve">her </w:t>
      </w:r>
      <w:r w:rsidR="006072F1" w:rsidRPr="002F10F7">
        <w:t xml:space="preserve">boyfriend’s </w:t>
      </w:r>
      <w:r w:rsidR="00EE4887" w:rsidRPr="002F10F7">
        <w:t xml:space="preserve">simple </w:t>
      </w:r>
      <w:r w:rsidR="006072F1" w:rsidRPr="002F10F7">
        <w:t xml:space="preserve">and straightforward </w:t>
      </w:r>
      <w:r w:rsidR="00B33704" w:rsidRPr="002F10F7">
        <w:t xml:space="preserve">statement </w:t>
      </w:r>
      <w:r w:rsidR="00AA4CAA" w:rsidRPr="002F10F7">
        <w:t xml:space="preserve">-- that he planned to come over around 12:30 -- </w:t>
      </w:r>
      <w:r w:rsidR="00507F34" w:rsidRPr="002F10F7">
        <w:t xml:space="preserve">which prompted her to </w:t>
      </w:r>
      <w:r w:rsidR="00C97A4D" w:rsidRPr="002F10F7">
        <w:t xml:space="preserve">take steps </w:t>
      </w:r>
      <w:r w:rsidR="00DE1D55" w:rsidRPr="002F10F7">
        <w:t>(i.e., enlist</w:t>
      </w:r>
      <w:r w:rsidR="00C97A4D" w:rsidRPr="002F10F7">
        <w:t xml:space="preserve"> </w:t>
      </w:r>
      <w:r w:rsidR="00594087" w:rsidRPr="002F10F7">
        <w:t xml:space="preserve">her friend’s </w:t>
      </w:r>
      <w:r w:rsidR="00DE1D55" w:rsidRPr="002F10F7">
        <w:t xml:space="preserve">help to remove drugs from the apartment) </w:t>
      </w:r>
      <w:r w:rsidR="00A57A9A" w:rsidRPr="002F10F7">
        <w:t xml:space="preserve">was, from a common-sense point of view, unlikely to </w:t>
      </w:r>
      <w:r w:rsidR="005E5CFD" w:rsidRPr="002F10F7">
        <w:t>have bee</w:t>
      </w:r>
      <w:r w:rsidR="00757630" w:rsidRPr="002F10F7">
        <w:t xml:space="preserve">n made up, </w:t>
      </w:r>
      <w:r w:rsidR="00FF77D5" w:rsidRPr="002F10F7">
        <w:t>misstated,</w:t>
      </w:r>
      <w:r w:rsidR="00757630" w:rsidRPr="002F10F7">
        <w:t xml:space="preserve"> or misunderstood. </w:t>
      </w:r>
    </w:p>
    <w:p w14:paraId="1B845744" w14:textId="55844C3E" w:rsidR="001552EF" w:rsidRPr="002F10F7" w:rsidRDefault="001552EF" w:rsidP="00E570CA">
      <w:r w:rsidRPr="002F10F7">
        <w:t>FINAL THOUGHT</w:t>
      </w:r>
    </w:p>
    <w:p w14:paraId="21EA85F4" w14:textId="599C9853" w:rsidR="00476AE9" w:rsidRPr="002F10F7" w:rsidRDefault="000758F2" w:rsidP="00E570CA">
      <w:r w:rsidRPr="002F10F7">
        <w:t xml:space="preserve">When </w:t>
      </w:r>
      <w:r w:rsidR="00721319" w:rsidRPr="002F10F7">
        <w:t xml:space="preserve">faced </w:t>
      </w:r>
      <w:r w:rsidR="00444174" w:rsidRPr="002F10F7">
        <w:t xml:space="preserve">with </w:t>
      </w:r>
      <w:r w:rsidRPr="002F10F7">
        <w:t xml:space="preserve">out-of-court statements </w:t>
      </w:r>
      <w:r w:rsidR="003005FA" w:rsidRPr="002F10F7">
        <w:t>of a</w:t>
      </w:r>
      <w:r w:rsidR="00721319" w:rsidRPr="002F10F7">
        <w:t xml:space="preserve"> victim </w:t>
      </w:r>
      <w:r w:rsidRPr="002F10F7">
        <w:t>or witness that</w:t>
      </w:r>
      <w:r w:rsidR="009B2CF7" w:rsidRPr="002F10F7">
        <w:t xml:space="preserve"> </w:t>
      </w:r>
      <w:r w:rsidRPr="002F10F7">
        <w:t xml:space="preserve">implicate </w:t>
      </w:r>
      <w:r w:rsidR="009B2CF7" w:rsidRPr="002F10F7">
        <w:t xml:space="preserve">a client </w:t>
      </w:r>
      <w:r w:rsidR="00C24D6F" w:rsidRPr="002F10F7">
        <w:t>in</w:t>
      </w:r>
      <w:r w:rsidR="003005FA" w:rsidRPr="002F10F7">
        <w:t xml:space="preserve"> criminal conduct, defen</w:t>
      </w:r>
      <w:r w:rsidR="006C4ED8" w:rsidRPr="002F10F7">
        <w:t>se counsel</w:t>
      </w:r>
      <w:r w:rsidR="003005FA" w:rsidRPr="002F10F7">
        <w:t xml:space="preserve"> must make sure that </w:t>
      </w:r>
      <w:proofErr w:type="gramStart"/>
      <w:r w:rsidR="003005FA" w:rsidRPr="002F10F7">
        <w:t>all of</w:t>
      </w:r>
      <w:proofErr w:type="gramEnd"/>
      <w:r w:rsidR="003005FA" w:rsidRPr="002F10F7">
        <w:t xml:space="preserve"> the foundational requirements for admissibility </w:t>
      </w:r>
      <w:r w:rsidR="00D072B4" w:rsidRPr="002F10F7">
        <w:t xml:space="preserve">have been satisfied. </w:t>
      </w:r>
      <w:r w:rsidR="00B12D77" w:rsidRPr="002F10F7">
        <w:t xml:space="preserve">If there are insufficient </w:t>
      </w:r>
      <w:r w:rsidR="00562E21" w:rsidRPr="002F10F7">
        <w:t>signs</w:t>
      </w:r>
      <w:r w:rsidR="00B12D77" w:rsidRPr="002F10F7">
        <w:t xml:space="preserve"> of </w:t>
      </w:r>
      <w:r w:rsidR="000D3260" w:rsidRPr="002F10F7">
        <w:t xml:space="preserve">the statement’s reliability </w:t>
      </w:r>
      <w:r w:rsidR="006C4ED8" w:rsidRPr="002F10F7">
        <w:t xml:space="preserve">(or </w:t>
      </w:r>
      <w:proofErr w:type="gramStart"/>
      <w:r w:rsidR="000D3260" w:rsidRPr="002F10F7">
        <w:t>there is</w:t>
      </w:r>
      <w:proofErr w:type="gramEnd"/>
      <w:r w:rsidR="000D3260" w:rsidRPr="002F10F7">
        <w:t xml:space="preserve"> other non-hearsay evidence in </w:t>
      </w:r>
      <w:r w:rsidR="009F0E54" w:rsidRPr="002F10F7">
        <w:t>the case obviating the “necessity” argument)</w:t>
      </w:r>
      <w:r w:rsidR="006C4ED8" w:rsidRPr="002F10F7">
        <w:t xml:space="preserve">, </w:t>
      </w:r>
      <w:r w:rsidR="00EE2DE7" w:rsidRPr="002F10F7">
        <w:t>a</w:t>
      </w:r>
      <w:r w:rsidR="009E52BC" w:rsidRPr="002F10F7">
        <w:t>n</w:t>
      </w:r>
      <w:r w:rsidR="00B00E04" w:rsidRPr="002F10F7">
        <w:t xml:space="preserve"> </w:t>
      </w:r>
      <w:r w:rsidR="00EE2DE7" w:rsidRPr="002F10F7">
        <w:t>objection should</w:t>
      </w:r>
      <w:r w:rsidR="009A5A43" w:rsidRPr="002F10F7">
        <w:t xml:space="preserve"> promptly</w:t>
      </w:r>
      <w:r w:rsidR="00EE2DE7" w:rsidRPr="002F10F7">
        <w:t xml:space="preserve"> be made, preferably in </w:t>
      </w:r>
      <w:proofErr w:type="spellStart"/>
      <w:r w:rsidR="00EE2DE7" w:rsidRPr="002F10F7">
        <w:t>limine</w:t>
      </w:r>
      <w:proofErr w:type="spellEnd"/>
      <w:r w:rsidR="00EE2DE7" w:rsidRPr="002F10F7">
        <w:t>, to</w:t>
      </w:r>
      <w:r w:rsidR="00B25D9D" w:rsidRPr="002F10F7">
        <w:t xml:space="preserve"> </w:t>
      </w:r>
      <w:r w:rsidR="00181404" w:rsidRPr="002F10F7">
        <w:t xml:space="preserve">preclude any </w:t>
      </w:r>
      <w:r w:rsidR="00D03111" w:rsidRPr="002F10F7">
        <w:t>out-of-court statements pointing to the defendant</w:t>
      </w:r>
      <w:r w:rsidR="00476AE9" w:rsidRPr="002F10F7">
        <w:t>.</w:t>
      </w:r>
    </w:p>
    <w:p w14:paraId="4F6DCAED" w14:textId="5FEA5FE1" w:rsidR="001552EF" w:rsidRDefault="00A00A1E" w:rsidP="00E570CA">
      <w:r w:rsidRPr="002F10F7">
        <w:t>Once</w:t>
      </w:r>
      <w:r w:rsidR="00444174" w:rsidRPr="002F10F7">
        <w:t xml:space="preserve"> the </w:t>
      </w:r>
      <w:r w:rsidR="009E52BC" w:rsidRPr="002F10F7">
        <w:t xml:space="preserve">hearsay </w:t>
      </w:r>
      <w:r w:rsidR="00476AE9" w:rsidRPr="002F10F7">
        <w:t xml:space="preserve">kraken has been released, </w:t>
      </w:r>
      <w:r w:rsidR="004E387F" w:rsidRPr="002F10F7">
        <w:t xml:space="preserve">it may well be that </w:t>
      </w:r>
      <w:r w:rsidR="004D5943" w:rsidRPr="002F10F7">
        <w:t>no amount cauti</w:t>
      </w:r>
      <w:r w:rsidR="00A3491E" w:rsidRPr="002F10F7">
        <w:t>onary instruction</w:t>
      </w:r>
      <w:r w:rsidR="00B417D1" w:rsidRPr="002F10F7">
        <w:t xml:space="preserve"> </w:t>
      </w:r>
      <w:r w:rsidR="00E10D1A" w:rsidRPr="002F10F7">
        <w:t>can</w:t>
      </w:r>
      <w:r w:rsidR="0012012E" w:rsidRPr="002F10F7">
        <w:t xml:space="preserve"> </w:t>
      </w:r>
      <w:r w:rsidR="00866240" w:rsidRPr="002F10F7">
        <w:t xml:space="preserve">return it </w:t>
      </w:r>
      <w:r w:rsidR="002B4088" w:rsidRPr="002F10F7">
        <w:t>to its under</w:t>
      </w:r>
      <w:r w:rsidR="0038655C" w:rsidRPr="002F10F7">
        <w:t>sea</w:t>
      </w:r>
      <w:r w:rsidR="002B4088" w:rsidRPr="002F10F7">
        <w:t xml:space="preserve"> lair</w:t>
      </w:r>
      <w:r w:rsidR="00E77356" w:rsidRPr="002F10F7">
        <w:t xml:space="preserve">, </w:t>
      </w:r>
      <w:r w:rsidR="00E10D1A" w:rsidRPr="002F10F7">
        <w:t xml:space="preserve">entirely </w:t>
      </w:r>
      <w:r w:rsidR="003472BA" w:rsidRPr="002F10F7">
        <w:t>forgotten.</w:t>
      </w:r>
    </w:p>
    <w:p w14:paraId="36416250" w14:textId="78F9E387" w:rsidR="00C833AF" w:rsidRDefault="00C833AF" w:rsidP="00E570CA"/>
    <w:p w14:paraId="45D09C70" w14:textId="77777777" w:rsidR="00E570CA" w:rsidRDefault="00E570CA" w:rsidP="00E570CA">
      <w:pPr>
        <w:pStyle w:val="ListParagraph"/>
        <w:ind w:left="1440"/>
      </w:pPr>
    </w:p>
    <w:p w14:paraId="6BC16E0F" w14:textId="2E7109EA" w:rsidR="00B437A8" w:rsidRDefault="00B437A8" w:rsidP="00B437A8"/>
    <w:p w14:paraId="1244136E" w14:textId="77777777" w:rsidR="00A47AC3" w:rsidRDefault="00A47AC3"/>
    <w:p w14:paraId="3E196669" w14:textId="77777777" w:rsidR="0052666F" w:rsidRDefault="0052666F"/>
    <w:sectPr w:rsidR="0052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FC"/>
    <w:multiLevelType w:val="hybridMultilevel"/>
    <w:tmpl w:val="496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DF"/>
    <w:multiLevelType w:val="hybridMultilevel"/>
    <w:tmpl w:val="38BCFB02"/>
    <w:lvl w:ilvl="0" w:tplc="AE5EF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0431"/>
    <w:multiLevelType w:val="hybridMultilevel"/>
    <w:tmpl w:val="F2AC5C36"/>
    <w:lvl w:ilvl="0" w:tplc="FC0A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00F"/>
    <w:multiLevelType w:val="hybridMultilevel"/>
    <w:tmpl w:val="4A58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3D9F"/>
    <w:multiLevelType w:val="hybridMultilevel"/>
    <w:tmpl w:val="EAB0F284"/>
    <w:lvl w:ilvl="0" w:tplc="B17A372C">
      <w:start w:val="1"/>
      <w:numFmt w:val="lowerRoman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51DA687B"/>
    <w:multiLevelType w:val="hybridMultilevel"/>
    <w:tmpl w:val="C858700A"/>
    <w:lvl w:ilvl="0" w:tplc="EDB4C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F76F6"/>
    <w:multiLevelType w:val="hybridMultilevel"/>
    <w:tmpl w:val="D25CA42A"/>
    <w:lvl w:ilvl="0" w:tplc="42A8BC56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921069375">
    <w:abstractNumId w:val="0"/>
  </w:num>
  <w:num w:numId="2" w16cid:durableId="719524535">
    <w:abstractNumId w:val="6"/>
  </w:num>
  <w:num w:numId="3" w16cid:durableId="1051462241">
    <w:abstractNumId w:val="4"/>
  </w:num>
  <w:num w:numId="4" w16cid:durableId="1904486766">
    <w:abstractNumId w:val="3"/>
  </w:num>
  <w:num w:numId="5" w16cid:durableId="1189639097">
    <w:abstractNumId w:val="1"/>
  </w:num>
  <w:num w:numId="6" w16cid:durableId="49769091">
    <w:abstractNumId w:val="5"/>
  </w:num>
  <w:num w:numId="7" w16cid:durableId="20440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CE"/>
    <w:rsid w:val="00001202"/>
    <w:rsid w:val="00004A15"/>
    <w:rsid w:val="0000649F"/>
    <w:rsid w:val="00007788"/>
    <w:rsid w:val="00007FF4"/>
    <w:rsid w:val="000115F7"/>
    <w:rsid w:val="00011BF6"/>
    <w:rsid w:val="00011D43"/>
    <w:rsid w:val="00015A14"/>
    <w:rsid w:val="00016EE1"/>
    <w:rsid w:val="000206CE"/>
    <w:rsid w:val="00025228"/>
    <w:rsid w:val="00026D05"/>
    <w:rsid w:val="00036EC0"/>
    <w:rsid w:val="00043345"/>
    <w:rsid w:val="00044087"/>
    <w:rsid w:val="00045D74"/>
    <w:rsid w:val="000472C2"/>
    <w:rsid w:val="000476D1"/>
    <w:rsid w:val="00047C81"/>
    <w:rsid w:val="00050A04"/>
    <w:rsid w:val="00052796"/>
    <w:rsid w:val="000558D5"/>
    <w:rsid w:val="00061065"/>
    <w:rsid w:val="00064ECC"/>
    <w:rsid w:val="00065A27"/>
    <w:rsid w:val="00066989"/>
    <w:rsid w:val="000713A7"/>
    <w:rsid w:val="00072CED"/>
    <w:rsid w:val="00072EEC"/>
    <w:rsid w:val="00074EBC"/>
    <w:rsid w:val="000758F2"/>
    <w:rsid w:val="000779FF"/>
    <w:rsid w:val="00080DBD"/>
    <w:rsid w:val="00081B5C"/>
    <w:rsid w:val="00081E73"/>
    <w:rsid w:val="000966B9"/>
    <w:rsid w:val="000B14B8"/>
    <w:rsid w:val="000B65BD"/>
    <w:rsid w:val="000B6F33"/>
    <w:rsid w:val="000C0C25"/>
    <w:rsid w:val="000C320A"/>
    <w:rsid w:val="000C3C5F"/>
    <w:rsid w:val="000D004C"/>
    <w:rsid w:val="000D188B"/>
    <w:rsid w:val="000D3260"/>
    <w:rsid w:val="000D4193"/>
    <w:rsid w:val="000D73E5"/>
    <w:rsid w:val="000E23CE"/>
    <w:rsid w:val="000E2F6C"/>
    <w:rsid w:val="000E671C"/>
    <w:rsid w:val="000E6826"/>
    <w:rsid w:val="000E7464"/>
    <w:rsid w:val="000F436A"/>
    <w:rsid w:val="000F477A"/>
    <w:rsid w:val="000F5E30"/>
    <w:rsid w:val="001030B4"/>
    <w:rsid w:val="00106541"/>
    <w:rsid w:val="001118C5"/>
    <w:rsid w:val="00112D07"/>
    <w:rsid w:val="0011330A"/>
    <w:rsid w:val="00115696"/>
    <w:rsid w:val="00115E84"/>
    <w:rsid w:val="00116BC1"/>
    <w:rsid w:val="00116F92"/>
    <w:rsid w:val="0011735F"/>
    <w:rsid w:val="0011771A"/>
    <w:rsid w:val="0012012E"/>
    <w:rsid w:val="00121CE7"/>
    <w:rsid w:val="00122102"/>
    <w:rsid w:val="00123C31"/>
    <w:rsid w:val="00124F38"/>
    <w:rsid w:val="00130554"/>
    <w:rsid w:val="001324B4"/>
    <w:rsid w:val="0013749F"/>
    <w:rsid w:val="001457B6"/>
    <w:rsid w:val="00145A23"/>
    <w:rsid w:val="00147F6B"/>
    <w:rsid w:val="00151EC8"/>
    <w:rsid w:val="0015358F"/>
    <w:rsid w:val="001552EF"/>
    <w:rsid w:val="00155C9C"/>
    <w:rsid w:val="0015687E"/>
    <w:rsid w:val="00156F1C"/>
    <w:rsid w:val="0016110E"/>
    <w:rsid w:val="001643CB"/>
    <w:rsid w:val="00166178"/>
    <w:rsid w:val="001717AF"/>
    <w:rsid w:val="00173708"/>
    <w:rsid w:val="00180854"/>
    <w:rsid w:val="00181404"/>
    <w:rsid w:val="00181A0A"/>
    <w:rsid w:val="00183C65"/>
    <w:rsid w:val="00185135"/>
    <w:rsid w:val="001858F6"/>
    <w:rsid w:val="001866E2"/>
    <w:rsid w:val="00187723"/>
    <w:rsid w:val="0019005A"/>
    <w:rsid w:val="00190D23"/>
    <w:rsid w:val="001941BA"/>
    <w:rsid w:val="00194CBF"/>
    <w:rsid w:val="00195053"/>
    <w:rsid w:val="001953BD"/>
    <w:rsid w:val="001961F5"/>
    <w:rsid w:val="001A4FA0"/>
    <w:rsid w:val="001A54B0"/>
    <w:rsid w:val="001A5ECB"/>
    <w:rsid w:val="001B0234"/>
    <w:rsid w:val="001B2FCC"/>
    <w:rsid w:val="001B7634"/>
    <w:rsid w:val="001C42C1"/>
    <w:rsid w:val="001C5D7C"/>
    <w:rsid w:val="001D1C76"/>
    <w:rsid w:val="001D671B"/>
    <w:rsid w:val="001E007C"/>
    <w:rsid w:val="001F0D5A"/>
    <w:rsid w:val="001F311C"/>
    <w:rsid w:val="001F38FB"/>
    <w:rsid w:val="001F41B1"/>
    <w:rsid w:val="001F6D4F"/>
    <w:rsid w:val="002008AD"/>
    <w:rsid w:val="00204E9B"/>
    <w:rsid w:val="00205080"/>
    <w:rsid w:val="00206F14"/>
    <w:rsid w:val="002222CE"/>
    <w:rsid w:val="00225EEF"/>
    <w:rsid w:val="00226462"/>
    <w:rsid w:val="0023248A"/>
    <w:rsid w:val="00233D00"/>
    <w:rsid w:val="00235D94"/>
    <w:rsid w:val="00236B10"/>
    <w:rsid w:val="00241C14"/>
    <w:rsid w:val="002469B2"/>
    <w:rsid w:val="00255A5D"/>
    <w:rsid w:val="00265388"/>
    <w:rsid w:val="00270CDB"/>
    <w:rsid w:val="00280A22"/>
    <w:rsid w:val="0028226D"/>
    <w:rsid w:val="002829A2"/>
    <w:rsid w:val="002942ED"/>
    <w:rsid w:val="00295E81"/>
    <w:rsid w:val="002962CD"/>
    <w:rsid w:val="002A3857"/>
    <w:rsid w:val="002A39FD"/>
    <w:rsid w:val="002B4088"/>
    <w:rsid w:val="002B4EE3"/>
    <w:rsid w:val="002B6186"/>
    <w:rsid w:val="002C02D7"/>
    <w:rsid w:val="002C03B9"/>
    <w:rsid w:val="002C1C14"/>
    <w:rsid w:val="002C4F84"/>
    <w:rsid w:val="002E4F90"/>
    <w:rsid w:val="002E5692"/>
    <w:rsid w:val="002E6ECA"/>
    <w:rsid w:val="002E70FC"/>
    <w:rsid w:val="002F00C0"/>
    <w:rsid w:val="002F10F7"/>
    <w:rsid w:val="002F135D"/>
    <w:rsid w:val="002F3210"/>
    <w:rsid w:val="002F6FED"/>
    <w:rsid w:val="003005FA"/>
    <w:rsid w:val="003102EC"/>
    <w:rsid w:val="0032425B"/>
    <w:rsid w:val="00326153"/>
    <w:rsid w:val="00326580"/>
    <w:rsid w:val="003367CF"/>
    <w:rsid w:val="00336E6E"/>
    <w:rsid w:val="00336F67"/>
    <w:rsid w:val="0033726A"/>
    <w:rsid w:val="00345E45"/>
    <w:rsid w:val="00346338"/>
    <w:rsid w:val="00346A86"/>
    <w:rsid w:val="00346C1A"/>
    <w:rsid w:val="003472BA"/>
    <w:rsid w:val="00347C1E"/>
    <w:rsid w:val="00350BCC"/>
    <w:rsid w:val="003513DC"/>
    <w:rsid w:val="00353786"/>
    <w:rsid w:val="00354C18"/>
    <w:rsid w:val="00355931"/>
    <w:rsid w:val="00363AF3"/>
    <w:rsid w:val="003643CA"/>
    <w:rsid w:val="00366221"/>
    <w:rsid w:val="00374D7F"/>
    <w:rsid w:val="00375B4F"/>
    <w:rsid w:val="003771BE"/>
    <w:rsid w:val="00383E44"/>
    <w:rsid w:val="0038655C"/>
    <w:rsid w:val="00387164"/>
    <w:rsid w:val="003929FC"/>
    <w:rsid w:val="0039362D"/>
    <w:rsid w:val="00393A3C"/>
    <w:rsid w:val="003940E0"/>
    <w:rsid w:val="00396832"/>
    <w:rsid w:val="003B1302"/>
    <w:rsid w:val="003B3116"/>
    <w:rsid w:val="003B3AA4"/>
    <w:rsid w:val="003B40C8"/>
    <w:rsid w:val="003C5EA4"/>
    <w:rsid w:val="003C737E"/>
    <w:rsid w:val="003C79AD"/>
    <w:rsid w:val="003D3523"/>
    <w:rsid w:val="003D6211"/>
    <w:rsid w:val="003D6925"/>
    <w:rsid w:val="003D6972"/>
    <w:rsid w:val="003D6B3D"/>
    <w:rsid w:val="003D6CAA"/>
    <w:rsid w:val="003D6E57"/>
    <w:rsid w:val="003E1E6C"/>
    <w:rsid w:val="003E75BB"/>
    <w:rsid w:val="003F2598"/>
    <w:rsid w:val="003F34FB"/>
    <w:rsid w:val="003F46A2"/>
    <w:rsid w:val="003F684D"/>
    <w:rsid w:val="003F73CE"/>
    <w:rsid w:val="00400C15"/>
    <w:rsid w:val="004023E4"/>
    <w:rsid w:val="00406581"/>
    <w:rsid w:val="00414CBC"/>
    <w:rsid w:val="00420FFE"/>
    <w:rsid w:val="0042242D"/>
    <w:rsid w:val="00424243"/>
    <w:rsid w:val="00425EE8"/>
    <w:rsid w:val="004408EE"/>
    <w:rsid w:val="00440BC6"/>
    <w:rsid w:val="004427E6"/>
    <w:rsid w:val="004428B6"/>
    <w:rsid w:val="00444174"/>
    <w:rsid w:val="004549A8"/>
    <w:rsid w:val="0045748B"/>
    <w:rsid w:val="00457FD1"/>
    <w:rsid w:val="00463CE9"/>
    <w:rsid w:val="00463FD7"/>
    <w:rsid w:val="004655C6"/>
    <w:rsid w:val="00470014"/>
    <w:rsid w:val="0047442C"/>
    <w:rsid w:val="00476AE9"/>
    <w:rsid w:val="00476F43"/>
    <w:rsid w:val="00477F56"/>
    <w:rsid w:val="00483915"/>
    <w:rsid w:val="00485175"/>
    <w:rsid w:val="00485350"/>
    <w:rsid w:val="00487DE1"/>
    <w:rsid w:val="0049248C"/>
    <w:rsid w:val="0049560F"/>
    <w:rsid w:val="004A052E"/>
    <w:rsid w:val="004A13B9"/>
    <w:rsid w:val="004A27E4"/>
    <w:rsid w:val="004A3288"/>
    <w:rsid w:val="004A46F3"/>
    <w:rsid w:val="004A7C64"/>
    <w:rsid w:val="004B372F"/>
    <w:rsid w:val="004B69F6"/>
    <w:rsid w:val="004C7373"/>
    <w:rsid w:val="004D058C"/>
    <w:rsid w:val="004D0655"/>
    <w:rsid w:val="004D113F"/>
    <w:rsid w:val="004D128E"/>
    <w:rsid w:val="004D315F"/>
    <w:rsid w:val="004D477E"/>
    <w:rsid w:val="004D4814"/>
    <w:rsid w:val="004D5943"/>
    <w:rsid w:val="004D6F13"/>
    <w:rsid w:val="004E387F"/>
    <w:rsid w:val="004E6887"/>
    <w:rsid w:val="004E68B2"/>
    <w:rsid w:val="004F5A5A"/>
    <w:rsid w:val="004F60DD"/>
    <w:rsid w:val="00502E4B"/>
    <w:rsid w:val="00503205"/>
    <w:rsid w:val="0050466F"/>
    <w:rsid w:val="0050737E"/>
    <w:rsid w:val="00507F34"/>
    <w:rsid w:val="005105A9"/>
    <w:rsid w:val="005127AD"/>
    <w:rsid w:val="00513BC7"/>
    <w:rsid w:val="00521A72"/>
    <w:rsid w:val="00521A84"/>
    <w:rsid w:val="0052287B"/>
    <w:rsid w:val="0052387D"/>
    <w:rsid w:val="005244E4"/>
    <w:rsid w:val="0052666F"/>
    <w:rsid w:val="005270E9"/>
    <w:rsid w:val="0053477E"/>
    <w:rsid w:val="00543092"/>
    <w:rsid w:val="00545B7A"/>
    <w:rsid w:val="00553A72"/>
    <w:rsid w:val="00555627"/>
    <w:rsid w:val="005613D8"/>
    <w:rsid w:val="00561F30"/>
    <w:rsid w:val="00562B80"/>
    <w:rsid w:val="00562E21"/>
    <w:rsid w:val="0056570A"/>
    <w:rsid w:val="00567FD1"/>
    <w:rsid w:val="005714B4"/>
    <w:rsid w:val="005735CC"/>
    <w:rsid w:val="00574A35"/>
    <w:rsid w:val="005801E0"/>
    <w:rsid w:val="0058163A"/>
    <w:rsid w:val="00582DB7"/>
    <w:rsid w:val="00582F0B"/>
    <w:rsid w:val="00583CFF"/>
    <w:rsid w:val="00584192"/>
    <w:rsid w:val="00591778"/>
    <w:rsid w:val="00592801"/>
    <w:rsid w:val="00593139"/>
    <w:rsid w:val="00594087"/>
    <w:rsid w:val="005944A9"/>
    <w:rsid w:val="005966AC"/>
    <w:rsid w:val="005A3579"/>
    <w:rsid w:val="005A4DA3"/>
    <w:rsid w:val="005B0A15"/>
    <w:rsid w:val="005C1880"/>
    <w:rsid w:val="005D30CB"/>
    <w:rsid w:val="005D6834"/>
    <w:rsid w:val="005E1781"/>
    <w:rsid w:val="005E3AB6"/>
    <w:rsid w:val="005E5CFD"/>
    <w:rsid w:val="005E6523"/>
    <w:rsid w:val="005F12C8"/>
    <w:rsid w:val="005F15EA"/>
    <w:rsid w:val="005F2D50"/>
    <w:rsid w:val="005F41D7"/>
    <w:rsid w:val="006047C6"/>
    <w:rsid w:val="006072F1"/>
    <w:rsid w:val="0061040F"/>
    <w:rsid w:val="0061346F"/>
    <w:rsid w:val="00615706"/>
    <w:rsid w:val="006159E1"/>
    <w:rsid w:val="0062517C"/>
    <w:rsid w:val="00630F5B"/>
    <w:rsid w:val="00630FAA"/>
    <w:rsid w:val="00631066"/>
    <w:rsid w:val="00635A44"/>
    <w:rsid w:val="006366B6"/>
    <w:rsid w:val="0063697E"/>
    <w:rsid w:val="00641C2B"/>
    <w:rsid w:val="0064446F"/>
    <w:rsid w:val="00644F24"/>
    <w:rsid w:val="00645572"/>
    <w:rsid w:val="00647D65"/>
    <w:rsid w:val="00650162"/>
    <w:rsid w:val="00650989"/>
    <w:rsid w:val="00654362"/>
    <w:rsid w:val="0065498D"/>
    <w:rsid w:val="00656928"/>
    <w:rsid w:val="00663CBC"/>
    <w:rsid w:val="006658A1"/>
    <w:rsid w:val="006778C1"/>
    <w:rsid w:val="00677B6F"/>
    <w:rsid w:val="00680722"/>
    <w:rsid w:val="00680F4B"/>
    <w:rsid w:val="006810EC"/>
    <w:rsid w:val="0068408D"/>
    <w:rsid w:val="0068411D"/>
    <w:rsid w:val="00684E2F"/>
    <w:rsid w:val="00685183"/>
    <w:rsid w:val="006912B2"/>
    <w:rsid w:val="006936B7"/>
    <w:rsid w:val="006944D4"/>
    <w:rsid w:val="00695036"/>
    <w:rsid w:val="006961DD"/>
    <w:rsid w:val="00697438"/>
    <w:rsid w:val="00697FAD"/>
    <w:rsid w:val="006A6295"/>
    <w:rsid w:val="006B4231"/>
    <w:rsid w:val="006B4C0B"/>
    <w:rsid w:val="006C4CE8"/>
    <w:rsid w:val="006C4ED8"/>
    <w:rsid w:val="006C68C4"/>
    <w:rsid w:val="006D2800"/>
    <w:rsid w:val="006D4EC0"/>
    <w:rsid w:val="006D68C7"/>
    <w:rsid w:val="006E6FBA"/>
    <w:rsid w:val="006E7149"/>
    <w:rsid w:val="006F00C4"/>
    <w:rsid w:val="006F4E7B"/>
    <w:rsid w:val="00705A27"/>
    <w:rsid w:val="00706E3F"/>
    <w:rsid w:val="007141DA"/>
    <w:rsid w:val="00720C09"/>
    <w:rsid w:val="00721319"/>
    <w:rsid w:val="007222D5"/>
    <w:rsid w:val="00731824"/>
    <w:rsid w:val="0073403C"/>
    <w:rsid w:val="00735444"/>
    <w:rsid w:val="00735E0F"/>
    <w:rsid w:val="00735F19"/>
    <w:rsid w:val="00737240"/>
    <w:rsid w:val="00740F40"/>
    <w:rsid w:val="00742DE8"/>
    <w:rsid w:val="00745A9C"/>
    <w:rsid w:val="0075196A"/>
    <w:rsid w:val="00751CA9"/>
    <w:rsid w:val="00754B6F"/>
    <w:rsid w:val="00757630"/>
    <w:rsid w:val="007618B6"/>
    <w:rsid w:val="00773761"/>
    <w:rsid w:val="00776E58"/>
    <w:rsid w:val="007776AB"/>
    <w:rsid w:val="00780D36"/>
    <w:rsid w:val="007855E8"/>
    <w:rsid w:val="00785F5C"/>
    <w:rsid w:val="0079316D"/>
    <w:rsid w:val="007A0683"/>
    <w:rsid w:val="007A336E"/>
    <w:rsid w:val="007A414E"/>
    <w:rsid w:val="007B0004"/>
    <w:rsid w:val="007B0EDF"/>
    <w:rsid w:val="007B1EF3"/>
    <w:rsid w:val="007B5D14"/>
    <w:rsid w:val="007B7311"/>
    <w:rsid w:val="007B7F62"/>
    <w:rsid w:val="007C11A5"/>
    <w:rsid w:val="007C3AA3"/>
    <w:rsid w:val="007C5735"/>
    <w:rsid w:val="007C72F8"/>
    <w:rsid w:val="007D13B7"/>
    <w:rsid w:val="007D1E40"/>
    <w:rsid w:val="007D2006"/>
    <w:rsid w:val="007D4AD5"/>
    <w:rsid w:val="007E0F7A"/>
    <w:rsid w:val="007E1279"/>
    <w:rsid w:val="007E1D1D"/>
    <w:rsid w:val="007E21CF"/>
    <w:rsid w:val="007E3C8D"/>
    <w:rsid w:val="007E5D73"/>
    <w:rsid w:val="007E6397"/>
    <w:rsid w:val="007E73B1"/>
    <w:rsid w:val="007F32A3"/>
    <w:rsid w:val="007F5F1C"/>
    <w:rsid w:val="007F70A9"/>
    <w:rsid w:val="00801A24"/>
    <w:rsid w:val="00803963"/>
    <w:rsid w:val="008062E1"/>
    <w:rsid w:val="0080725A"/>
    <w:rsid w:val="008077FB"/>
    <w:rsid w:val="00812F15"/>
    <w:rsid w:val="00813A7F"/>
    <w:rsid w:val="00815141"/>
    <w:rsid w:val="008165A8"/>
    <w:rsid w:val="00826811"/>
    <w:rsid w:val="008275DB"/>
    <w:rsid w:val="00830136"/>
    <w:rsid w:val="00831CFC"/>
    <w:rsid w:val="00832BF5"/>
    <w:rsid w:val="008364C9"/>
    <w:rsid w:val="00843FC9"/>
    <w:rsid w:val="00844A7C"/>
    <w:rsid w:val="008536EE"/>
    <w:rsid w:val="00854813"/>
    <w:rsid w:val="00854B4A"/>
    <w:rsid w:val="008625D3"/>
    <w:rsid w:val="00862E03"/>
    <w:rsid w:val="00866240"/>
    <w:rsid w:val="00867AC4"/>
    <w:rsid w:val="008729FF"/>
    <w:rsid w:val="008731E3"/>
    <w:rsid w:val="008759B6"/>
    <w:rsid w:val="00882ECC"/>
    <w:rsid w:val="0088380E"/>
    <w:rsid w:val="008868A9"/>
    <w:rsid w:val="0088769E"/>
    <w:rsid w:val="00890004"/>
    <w:rsid w:val="00890F3B"/>
    <w:rsid w:val="008945C0"/>
    <w:rsid w:val="00894B19"/>
    <w:rsid w:val="00894B4A"/>
    <w:rsid w:val="008A711B"/>
    <w:rsid w:val="008B078B"/>
    <w:rsid w:val="008B0804"/>
    <w:rsid w:val="008B0A94"/>
    <w:rsid w:val="008B11A2"/>
    <w:rsid w:val="008B148D"/>
    <w:rsid w:val="008B63E7"/>
    <w:rsid w:val="008B6F3F"/>
    <w:rsid w:val="008C1A05"/>
    <w:rsid w:val="008C3001"/>
    <w:rsid w:val="008C6CD9"/>
    <w:rsid w:val="008D5F1C"/>
    <w:rsid w:val="008E1F78"/>
    <w:rsid w:val="008E2019"/>
    <w:rsid w:val="008E54D5"/>
    <w:rsid w:val="008F20B4"/>
    <w:rsid w:val="008F247D"/>
    <w:rsid w:val="00900C56"/>
    <w:rsid w:val="00907685"/>
    <w:rsid w:val="009101BE"/>
    <w:rsid w:val="00910806"/>
    <w:rsid w:val="00911323"/>
    <w:rsid w:val="0091134D"/>
    <w:rsid w:val="009151CB"/>
    <w:rsid w:val="00915BCA"/>
    <w:rsid w:val="00915C88"/>
    <w:rsid w:val="009164DF"/>
    <w:rsid w:val="00920FC8"/>
    <w:rsid w:val="00921F92"/>
    <w:rsid w:val="00923214"/>
    <w:rsid w:val="009251DB"/>
    <w:rsid w:val="00927B41"/>
    <w:rsid w:val="00933196"/>
    <w:rsid w:val="00936DFD"/>
    <w:rsid w:val="00941437"/>
    <w:rsid w:val="009462E6"/>
    <w:rsid w:val="009624ED"/>
    <w:rsid w:val="00977E7C"/>
    <w:rsid w:val="00987DF3"/>
    <w:rsid w:val="0099137A"/>
    <w:rsid w:val="00994106"/>
    <w:rsid w:val="0099419F"/>
    <w:rsid w:val="009A1F43"/>
    <w:rsid w:val="009A55D9"/>
    <w:rsid w:val="009A5A43"/>
    <w:rsid w:val="009A6C87"/>
    <w:rsid w:val="009A78B6"/>
    <w:rsid w:val="009B053B"/>
    <w:rsid w:val="009B18E9"/>
    <w:rsid w:val="009B1E55"/>
    <w:rsid w:val="009B2CF7"/>
    <w:rsid w:val="009B6F0C"/>
    <w:rsid w:val="009B7412"/>
    <w:rsid w:val="009C2580"/>
    <w:rsid w:val="009D0850"/>
    <w:rsid w:val="009D2826"/>
    <w:rsid w:val="009D2B6E"/>
    <w:rsid w:val="009D4383"/>
    <w:rsid w:val="009D55A5"/>
    <w:rsid w:val="009D6EDC"/>
    <w:rsid w:val="009D73AF"/>
    <w:rsid w:val="009E4367"/>
    <w:rsid w:val="009E4A94"/>
    <w:rsid w:val="009E52BC"/>
    <w:rsid w:val="009E5CCA"/>
    <w:rsid w:val="009E69CB"/>
    <w:rsid w:val="009F0E54"/>
    <w:rsid w:val="009F207B"/>
    <w:rsid w:val="00A00140"/>
    <w:rsid w:val="00A00A1E"/>
    <w:rsid w:val="00A015B1"/>
    <w:rsid w:val="00A02F35"/>
    <w:rsid w:val="00A069D4"/>
    <w:rsid w:val="00A07473"/>
    <w:rsid w:val="00A13887"/>
    <w:rsid w:val="00A1417E"/>
    <w:rsid w:val="00A149B1"/>
    <w:rsid w:val="00A14FAB"/>
    <w:rsid w:val="00A16E91"/>
    <w:rsid w:val="00A24813"/>
    <w:rsid w:val="00A26052"/>
    <w:rsid w:val="00A27737"/>
    <w:rsid w:val="00A2776C"/>
    <w:rsid w:val="00A317A9"/>
    <w:rsid w:val="00A32620"/>
    <w:rsid w:val="00A33B3E"/>
    <w:rsid w:val="00A342EE"/>
    <w:rsid w:val="00A3491E"/>
    <w:rsid w:val="00A41934"/>
    <w:rsid w:val="00A432FF"/>
    <w:rsid w:val="00A43611"/>
    <w:rsid w:val="00A47AC3"/>
    <w:rsid w:val="00A507AF"/>
    <w:rsid w:val="00A50A27"/>
    <w:rsid w:val="00A50F27"/>
    <w:rsid w:val="00A5239B"/>
    <w:rsid w:val="00A5605C"/>
    <w:rsid w:val="00A57A9A"/>
    <w:rsid w:val="00A57BF4"/>
    <w:rsid w:val="00A624A5"/>
    <w:rsid w:val="00A70225"/>
    <w:rsid w:val="00A7124B"/>
    <w:rsid w:val="00A727F2"/>
    <w:rsid w:val="00A73EFB"/>
    <w:rsid w:val="00A81301"/>
    <w:rsid w:val="00AA36A1"/>
    <w:rsid w:val="00AA4CAA"/>
    <w:rsid w:val="00AB337E"/>
    <w:rsid w:val="00AC1A6B"/>
    <w:rsid w:val="00AC3C02"/>
    <w:rsid w:val="00AC428C"/>
    <w:rsid w:val="00AD0F62"/>
    <w:rsid w:val="00AD1DD4"/>
    <w:rsid w:val="00AD206D"/>
    <w:rsid w:val="00AD7DCA"/>
    <w:rsid w:val="00AF3780"/>
    <w:rsid w:val="00AF398C"/>
    <w:rsid w:val="00AF42B1"/>
    <w:rsid w:val="00AF44FA"/>
    <w:rsid w:val="00B00E04"/>
    <w:rsid w:val="00B031C4"/>
    <w:rsid w:val="00B050A4"/>
    <w:rsid w:val="00B10C47"/>
    <w:rsid w:val="00B12D77"/>
    <w:rsid w:val="00B14DF7"/>
    <w:rsid w:val="00B25D76"/>
    <w:rsid w:val="00B25D9D"/>
    <w:rsid w:val="00B30BC4"/>
    <w:rsid w:val="00B32462"/>
    <w:rsid w:val="00B33704"/>
    <w:rsid w:val="00B34BD2"/>
    <w:rsid w:val="00B417D1"/>
    <w:rsid w:val="00B42B3C"/>
    <w:rsid w:val="00B437A8"/>
    <w:rsid w:val="00B43A4E"/>
    <w:rsid w:val="00B44215"/>
    <w:rsid w:val="00B468FF"/>
    <w:rsid w:val="00B46DDE"/>
    <w:rsid w:val="00B52038"/>
    <w:rsid w:val="00B565C0"/>
    <w:rsid w:val="00B67997"/>
    <w:rsid w:val="00B76843"/>
    <w:rsid w:val="00B80749"/>
    <w:rsid w:val="00B83903"/>
    <w:rsid w:val="00B83CFA"/>
    <w:rsid w:val="00B873A6"/>
    <w:rsid w:val="00B8772D"/>
    <w:rsid w:val="00B91BEC"/>
    <w:rsid w:val="00B9222E"/>
    <w:rsid w:val="00B95C64"/>
    <w:rsid w:val="00B96222"/>
    <w:rsid w:val="00B97ACA"/>
    <w:rsid w:val="00BA0922"/>
    <w:rsid w:val="00BA3B30"/>
    <w:rsid w:val="00BA3ECD"/>
    <w:rsid w:val="00BA4434"/>
    <w:rsid w:val="00BA52C5"/>
    <w:rsid w:val="00BA65F0"/>
    <w:rsid w:val="00BA741B"/>
    <w:rsid w:val="00BB4B67"/>
    <w:rsid w:val="00BB5033"/>
    <w:rsid w:val="00BB57EF"/>
    <w:rsid w:val="00BC0B18"/>
    <w:rsid w:val="00BC10F2"/>
    <w:rsid w:val="00BC2C2A"/>
    <w:rsid w:val="00BC34F5"/>
    <w:rsid w:val="00BC377B"/>
    <w:rsid w:val="00BC5770"/>
    <w:rsid w:val="00BC5807"/>
    <w:rsid w:val="00BD0B0C"/>
    <w:rsid w:val="00BD4946"/>
    <w:rsid w:val="00BD6F1C"/>
    <w:rsid w:val="00BE2F0F"/>
    <w:rsid w:val="00BE4BEE"/>
    <w:rsid w:val="00BE52AC"/>
    <w:rsid w:val="00BE5BA1"/>
    <w:rsid w:val="00BF0814"/>
    <w:rsid w:val="00BF111A"/>
    <w:rsid w:val="00BF30B6"/>
    <w:rsid w:val="00BF589A"/>
    <w:rsid w:val="00BF7497"/>
    <w:rsid w:val="00C017AE"/>
    <w:rsid w:val="00C02D43"/>
    <w:rsid w:val="00C03A6D"/>
    <w:rsid w:val="00C06716"/>
    <w:rsid w:val="00C06DE6"/>
    <w:rsid w:val="00C10CCD"/>
    <w:rsid w:val="00C15576"/>
    <w:rsid w:val="00C22FCA"/>
    <w:rsid w:val="00C24D6F"/>
    <w:rsid w:val="00C26F8E"/>
    <w:rsid w:val="00C279CB"/>
    <w:rsid w:val="00C30708"/>
    <w:rsid w:val="00C35891"/>
    <w:rsid w:val="00C36515"/>
    <w:rsid w:val="00C43AE3"/>
    <w:rsid w:val="00C470FC"/>
    <w:rsid w:val="00C51C4D"/>
    <w:rsid w:val="00C52D4E"/>
    <w:rsid w:val="00C52F30"/>
    <w:rsid w:val="00C52F8C"/>
    <w:rsid w:val="00C542B8"/>
    <w:rsid w:val="00C545CD"/>
    <w:rsid w:val="00C62BE5"/>
    <w:rsid w:val="00C67E9A"/>
    <w:rsid w:val="00C80598"/>
    <w:rsid w:val="00C811EB"/>
    <w:rsid w:val="00C82780"/>
    <w:rsid w:val="00C833AF"/>
    <w:rsid w:val="00C911D4"/>
    <w:rsid w:val="00C92E42"/>
    <w:rsid w:val="00C97A4D"/>
    <w:rsid w:val="00CA6292"/>
    <w:rsid w:val="00CA6370"/>
    <w:rsid w:val="00CA687E"/>
    <w:rsid w:val="00CB14B1"/>
    <w:rsid w:val="00CB21F7"/>
    <w:rsid w:val="00CB323B"/>
    <w:rsid w:val="00CB3548"/>
    <w:rsid w:val="00CB63B8"/>
    <w:rsid w:val="00CC001E"/>
    <w:rsid w:val="00CC18D5"/>
    <w:rsid w:val="00CC1E30"/>
    <w:rsid w:val="00CC2A2B"/>
    <w:rsid w:val="00CC6D58"/>
    <w:rsid w:val="00CD126C"/>
    <w:rsid w:val="00CD1EF4"/>
    <w:rsid w:val="00CE1B8E"/>
    <w:rsid w:val="00CF00B6"/>
    <w:rsid w:val="00CF00C3"/>
    <w:rsid w:val="00CF0DD0"/>
    <w:rsid w:val="00CF231C"/>
    <w:rsid w:val="00CF3243"/>
    <w:rsid w:val="00CF3BB7"/>
    <w:rsid w:val="00CF3EB5"/>
    <w:rsid w:val="00CF4C64"/>
    <w:rsid w:val="00CF5FEB"/>
    <w:rsid w:val="00CF783B"/>
    <w:rsid w:val="00D03111"/>
    <w:rsid w:val="00D06B4C"/>
    <w:rsid w:val="00D072B4"/>
    <w:rsid w:val="00D10ACF"/>
    <w:rsid w:val="00D17830"/>
    <w:rsid w:val="00D24B7A"/>
    <w:rsid w:val="00D24E10"/>
    <w:rsid w:val="00D33628"/>
    <w:rsid w:val="00D41B52"/>
    <w:rsid w:val="00D41C1D"/>
    <w:rsid w:val="00D436E9"/>
    <w:rsid w:val="00D55B1F"/>
    <w:rsid w:val="00D573C5"/>
    <w:rsid w:val="00D60680"/>
    <w:rsid w:val="00D6090D"/>
    <w:rsid w:val="00D650FA"/>
    <w:rsid w:val="00D664DD"/>
    <w:rsid w:val="00D82642"/>
    <w:rsid w:val="00D84CDE"/>
    <w:rsid w:val="00D87941"/>
    <w:rsid w:val="00DA19BA"/>
    <w:rsid w:val="00DA7D91"/>
    <w:rsid w:val="00DB0827"/>
    <w:rsid w:val="00DB5842"/>
    <w:rsid w:val="00DC0848"/>
    <w:rsid w:val="00DC0D44"/>
    <w:rsid w:val="00DC1A89"/>
    <w:rsid w:val="00DC1FF1"/>
    <w:rsid w:val="00DC35BE"/>
    <w:rsid w:val="00DC434C"/>
    <w:rsid w:val="00DC5D0D"/>
    <w:rsid w:val="00DD0479"/>
    <w:rsid w:val="00DD0570"/>
    <w:rsid w:val="00DD3448"/>
    <w:rsid w:val="00DD5095"/>
    <w:rsid w:val="00DD79ED"/>
    <w:rsid w:val="00DE0459"/>
    <w:rsid w:val="00DE12EC"/>
    <w:rsid w:val="00DE1D55"/>
    <w:rsid w:val="00E00A67"/>
    <w:rsid w:val="00E038D2"/>
    <w:rsid w:val="00E07B0D"/>
    <w:rsid w:val="00E07BB6"/>
    <w:rsid w:val="00E106A1"/>
    <w:rsid w:val="00E10851"/>
    <w:rsid w:val="00E10D1A"/>
    <w:rsid w:val="00E12E49"/>
    <w:rsid w:val="00E14676"/>
    <w:rsid w:val="00E156C0"/>
    <w:rsid w:val="00E156CB"/>
    <w:rsid w:val="00E20C23"/>
    <w:rsid w:val="00E22DB4"/>
    <w:rsid w:val="00E241E7"/>
    <w:rsid w:val="00E2527E"/>
    <w:rsid w:val="00E4198B"/>
    <w:rsid w:val="00E419E2"/>
    <w:rsid w:val="00E54302"/>
    <w:rsid w:val="00E570CA"/>
    <w:rsid w:val="00E634A4"/>
    <w:rsid w:val="00E63A25"/>
    <w:rsid w:val="00E63B49"/>
    <w:rsid w:val="00E64595"/>
    <w:rsid w:val="00E64634"/>
    <w:rsid w:val="00E64C0A"/>
    <w:rsid w:val="00E64E47"/>
    <w:rsid w:val="00E702B6"/>
    <w:rsid w:val="00E70606"/>
    <w:rsid w:val="00E71AE8"/>
    <w:rsid w:val="00E741C2"/>
    <w:rsid w:val="00E77356"/>
    <w:rsid w:val="00E82868"/>
    <w:rsid w:val="00E8433A"/>
    <w:rsid w:val="00E848A7"/>
    <w:rsid w:val="00E86A78"/>
    <w:rsid w:val="00E86F7C"/>
    <w:rsid w:val="00E916C7"/>
    <w:rsid w:val="00E91EA4"/>
    <w:rsid w:val="00E93CF2"/>
    <w:rsid w:val="00E94691"/>
    <w:rsid w:val="00E96791"/>
    <w:rsid w:val="00E96BB1"/>
    <w:rsid w:val="00EA0550"/>
    <w:rsid w:val="00EA43EB"/>
    <w:rsid w:val="00EA45AB"/>
    <w:rsid w:val="00EA4983"/>
    <w:rsid w:val="00EA743C"/>
    <w:rsid w:val="00EA7F82"/>
    <w:rsid w:val="00EB420A"/>
    <w:rsid w:val="00EB6B6E"/>
    <w:rsid w:val="00EB79BD"/>
    <w:rsid w:val="00EB7ED1"/>
    <w:rsid w:val="00EC26D5"/>
    <w:rsid w:val="00EC2996"/>
    <w:rsid w:val="00EC3245"/>
    <w:rsid w:val="00EC3FB9"/>
    <w:rsid w:val="00EC5B34"/>
    <w:rsid w:val="00ED0FF8"/>
    <w:rsid w:val="00ED3994"/>
    <w:rsid w:val="00ED3DB6"/>
    <w:rsid w:val="00ED4ECA"/>
    <w:rsid w:val="00ED6D47"/>
    <w:rsid w:val="00EE2DE7"/>
    <w:rsid w:val="00EE4887"/>
    <w:rsid w:val="00EE491A"/>
    <w:rsid w:val="00EE562F"/>
    <w:rsid w:val="00EF0DC7"/>
    <w:rsid w:val="00EF14EB"/>
    <w:rsid w:val="00EF3525"/>
    <w:rsid w:val="00EF4A69"/>
    <w:rsid w:val="00EF517F"/>
    <w:rsid w:val="00EF5786"/>
    <w:rsid w:val="00EF6AD7"/>
    <w:rsid w:val="00F0419D"/>
    <w:rsid w:val="00F052DF"/>
    <w:rsid w:val="00F054EC"/>
    <w:rsid w:val="00F05DAD"/>
    <w:rsid w:val="00F12D1A"/>
    <w:rsid w:val="00F13111"/>
    <w:rsid w:val="00F14959"/>
    <w:rsid w:val="00F24FA1"/>
    <w:rsid w:val="00F27340"/>
    <w:rsid w:val="00F367A4"/>
    <w:rsid w:val="00F42E5C"/>
    <w:rsid w:val="00F438DC"/>
    <w:rsid w:val="00F43CB9"/>
    <w:rsid w:val="00F452D7"/>
    <w:rsid w:val="00F46216"/>
    <w:rsid w:val="00F4696A"/>
    <w:rsid w:val="00F46ECB"/>
    <w:rsid w:val="00F61AF3"/>
    <w:rsid w:val="00F6210F"/>
    <w:rsid w:val="00F627F8"/>
    <w:rsid w:val="00F665E1"/>
    <w:rsid w:val="00F66BED"/>
    <w:rsid w:val="00F6736D"/>
    <w:rsid w:val="00F6755D"/>
    <w:rsid w:val="00F67D13"/>
    <w:rsid w:val="00F708EB"/>
    <w:rsid w:val="00F766A6"/>
    <w:rsid w:val="00F80D06"/>
    <w:rsid w:val="00F82692"/>
    <w:rsid w:val="00F8310B"/>
    <w:rsid w:val="00F91664"/>
    <w:rsid w:val="00FA179C"/>
    <w:rsid w:val="00FA2F6A"/>
    <w:rsid w:val="00FA3FCB"/>
    <w:rsid w:val="00FA5F87"/>
    <w:rsid w:val="00FB287D"/>
    <w:rsid w:val="00FB75D2"/>
    <w:rsid w:val="00FB79D8"/>
    <w:rsid w:val="00FC06C3"/>
    <w:rsid w:val="00FC17C4"/>
    <w:rsid w:val="00FC33DF"/>
    <w:rsid w:val="00FC51DE"/>
    <w:rsid w:val="00FC622A"/>
    <w:rsid w:val="00FD018B"/>
    <w:rsid w:val="00FD3B5A"/>
    <w:rsid w:val="00FD5DEE"/>
    <w:rsid w:val="00FD6A9F"/>
    <w:rsid w:val="00FD6E32"/>
    <w:rsid w:val="00FD7BA2"/>
    <w:rsid w:val="00FF1904"/>
    <w:rsid w:val="00FF4FEF"/>
    <w:rsid w:val="00FF687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FFA7"/>
  <w15:chartTrackingRefBased/>
  <w15:docId w15:val="{63A60771-5E34-483A-B04F-8BC3744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Powers</cp:lastModifiedBy>
  <cp:revision>2</cp:revision>
  <dcterms:created xsi:type="dcterms:W3CDTF">2023-10-03T13:50:00Z</dcterms:created>
  <dcterms:modified xsi:type="dcterms:W3CDTF">2023-10-03T13:50:00Z</dcterms:modified>
</cp:coreProperties>
</file>