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D8BB" w14:textId="714324D0" w:rsidR="00A53F2D" w:rsidRPr="005052F4" w:rsidRDefault="004B0096">
      <w:r>
        <w:t xml:space="preserve">    </w:t>
      </w:r>
      <w:r w:rsidR="00D74EE0">
        <w:t xml:space="preserve">   </w:t>
      </w:r>
      <w:r>
        <w:t xml:space="preserve">     </w:t>
      </w:r>
      <w:r w:rsidRPr="005052F4">
        <w:t>IS DEBOUR’S MULTI-TIER ANALYTICAL FRAMEWORK AT RISK OF TUMBLING DOWN?</w:t>
      </w:r>
    </w:p>
    <w:p w14:paraId="07C4D3D4" w14:textId="77777777" w:rsidR="004B0096" w:rsidRPr="005052F4" w:rsidRDefault="004B0096"/>
    <w:p w14:paraId="786FEBF4" w14:textId="4CA4C545" w:rsidR="004B0096" w:rsidRPr="005052F4" w:rsidRDefault="004B0096">
      <w:r w:rsidRPr="005052F4">
        <w:t>Thomas P. Franczyk</w:t>
      </w:r>
    </w:p>
    <w:p w14:paraId="33044203" w14:textId="177FFE32" w:rsidR="004B0096" w:rsidRPr="005052F4" w:rsidRDefault="004B0096">
      <w:r w:rsidRPr="005052F4">
        <w:t xml:space="preserve">Mentor -at -Large to the </w:t>
      </w:r>
    </w:p>
    <w:p w14:paraId="643BBD75" w14:textId="12F9B40F" w:rsidR="004B0096" w:rsidRPr="005052F4" w:rsidRDefault="004B0096">
      <w:r w:rsidRPr="005052F4">
        <w:t>Assigned Counsel Program</w:t>
      </w:r>
    </w:p>
    <w:p w14:paraId="32600093" w14:textId="5C792100" w:rsidR="004B0096" w:rsidRPr="005052F4" w:rsidRDefault="004B17E8">
      <w:r w:rsidRPr="005052F4">
        <w:t>September</w:t>
      </w:r>
      <w:r w:rsidR="004B0096" w:rsidRPr="005052F4">
        <w:t xml:space="preserve"> 202</w:t>
      </w:r>
      <w:r w:rsidR="00D74AAD" w:rsidRPr="005052F4">
        <w:t>3</w:t>
      </w:r>
    </w:p>
    <w:p w14:paraId="05560440" w14:textId="77777777" w:rsidR="00D74AAD" w:rsidRPr="005052F4" w:rsidRDefault="00D74AAD"/>
    <w:p w14:paraId="6EA0D867" w14:textId="3D657961" w:rsidR="00D74AAD" w:rsidRPr="005052F4" w:rsidRDefault="00D74AAD">
      <w:r w:rsidRPr="005052F4">
        <w:t>INTRODUCTION</w:t>
      </w:r>
    </w:p>
    <w:p w14:paraId="67C4AAD2" w14:textId="77777777" w:rsidR="00D74AAD" w:rsidRPr="005052F4" w:rsidRDefault="00D74AAD"/>
    <w:p w14:paraId="10067EDF" w14:textId="1A43E928" w:rsidR="00D74AAD" w:rsidRPr="005052F4" w:rsidRDefault="00584925">
      <w:r w:rsidRPr="005052F4">
        <w:t>Nearly a half century ago, the Co</w:t>
      </w:r>
      <w:r w:rsidR="00FA5295" w:rsidRPr="005052F4">
        <w:t xml:space="preserve">urt of Appeals, in </w:t>
      </w:r>
      <w:r w:rsidR="00FA5295" w:rsidRPr="005052F4">
        <w:rPr>
          <w:i/>
          <w:iCs/>
        </w:rPr>
        <w:t xml:space="preserve">People v </w:t>
      </w:r>
      <w:proofErr w:type="spellStart"/>
      <w:r w:rsidR="00FA5295" w:rsidRPr="005052F4">
        <w:rPr>
          <w:i/>
          <w:iCs/>
        </w:rPr>
        <w:t>DeBour</w:t>
      </w:r>
      <w:proofErr w:type="spellEnd"/>
      <w:r w:rsidR="00F677BC" w:rsidRPr="005052F4">
        <w:t xml:space="preserve">/ </w:t>
      </w:r>
      <w:r w:rsidR="00F677BC" w:rsidRPr="005052F4">
        <w:rPr>
          <w:i/>
          <w:iCs/>
        </w:rPr>
        <w:t xml:space="preserve">People v </w:t>
      </w:r>
      <w:proofErr w:type="spellStart"/>
      <w:r w:rsidR="00F677BC" w:rsidRPr="005052F4">
        <w:rPr>
          <w:i/>
          <w:iCs/>
        </w:rPr>
        <w:t>LaPene</w:t>
      </w:r>
      <w:proofErr w:type="spellEnd"/>
      <w:r w:rsidR="00F677BC" w:rsidRPr="005052F4">
        <w:t>, (</w:t>
      </w:r>
      <w:r w:rsidRPr="005052F4">
        <w:t>40 NY2d 210 [1976])</w:t>
      </w:r>
      <w:r w:rsidR="00F677BC" w:rsidRPr="005052F4">
        <w:t xml:space="preserve"> </w:t>
      </w:r>
      <w:r w:rsidR="00831E85" w:rsidRPr="005052F4">
        <w:t xml:space="preserve">constructed a four-tier approach to analyzing </w:t>
      </w:r>
      <w:r w:rsidR="00B3520F" w:rsidRPr="005052F4">
        <w:t>the propriety of police</w:t>
      </w:r>
      <w:r w:rsidR="00E777C2" w:rsidRPr="005052F4">
        <w:t xml:space="preserve">-initiated </w:t>
      </w:r>
      <w:r w:rsidR="00B3520F" w:rsidRPr="005052F4">
        <w:t>encounter</w:t>
      </w:r>
      <w:r w:rsidR="00F43206" w:rsidRPr="005052F4">
        <w:t xml:space="preserve">s </w:t>
      </w:r>
      <w:r w:rsidR="00E777C2" w:rsidRPr="005052F4">
        <w:t>with private citizens in public setting</w:t>
      </w:r>
      <w:r w:rsidR="00A94A28" w:rsidRPr="005052F4">
        <w:t xml:space="preserve">s. </w:t>
      </w:r>
    </w:p>
    <w:p w14:paraId="7F063699" w14:textId="16AB325C" w:rsidR="00CE5C7E" w:rsidRPr="005052F4" w:rsidRDefault="00BA0705">
      <w:r w:rsidRPr="005052F4">
        <w:t xml:space="preserve">Unlike the federal </w:t>
      </w:r>
      <w:r w:rsidR="00E55B6A" w:rsidRPr="005052F4">
        <w:t>model</w:t>
      </w:r>
      <w:r w:rsidRPr="005052F4">
        <w:t xml:space="preserve"> </w:t>
      </w:r>
      <w:r w:rsidR="004443A7" w:rsidRPr="005052F4">
        <w:t>which requires a</w:t>
      </w:r>
      <w:r w:rsidR="00CA7BD1" w:rsidRPr="005052F4">
        <w:t xml:space="preserve"> seizure of the individual before </w:t>
      </w:r>
      <w:r w:rsidR="00C96AC8" w:rsidRPr="005052F4">
        <w:t xml:space="preserve">constitutional considerations come into play, </w:t>
      </w:r>
      <w:r w:rsidR="00DC4860" w:rsidRPr="005052F4">
        <w:t>(</w:t>
      </w:r>
      <w:r w:rsidR="00DC4860" w:rsidRPr="005052F4">
        <w:rPr>
          <w:i/>
          <w:iCs/>
        </w:rPr>
        <w:t xml:space="preserve">Terry </w:t>
      </w:r>
      <w:r w:rsidR="003B4783" w:rsidRPr="005052F4">
        <w:rPr>
          <w:i/>
          <w:iCs/>
        </w:rPr>
        <w:t>v Ohio</w:t>
      </w:r>
      <w:r w:rsidR="003B4783" w:rsidRPr="005052F4">
        <w:t xml:space="preserve">, 392 US 1 [1968]), </w:t>
      </w:r>
      <w:r w:rsidR="00517100" w:rsidRPr="005052F4">
        <w:t xml:space="preserve">the </w:t>
      </w:r>
      <w:proofErr w:type="spellStart"/>
      <w:r w:rsidR="007205A9" w:rsidRPr="005052F4">
        <w:rPr>
          <w:i/>
          <w:iCs/>
        </w:rPr>
        <w:t>DeBour</w:t>
      </w:r>
      <w:proofErr w:type="spellEnd"/>
      <w:r w:rsidR="007205A9" w:rsidRPr="005052F4">
        <w:t xml:space="preserve"> Court determined that </w:t>
      </w:r>
      <w:r w:rsidR="00E65C3C" w:rsidRPr="005052F4">
        <w:t xml:space="preserve">even </w:t>
      </w:r>
      <w:r w:rsidR="00D859E5" w:rsidRPr="005052F4">
        <w:t>thos</w:t>
      </w:r>
      <w:r w:rsidR="009511BE" w:rsidRPr="005052F4">
        <w:t>e less intrusive</w:t>
      </w:r>
      <w:r w:rsidR="00D859E5" w:rsidRPr="005052F4">
        <w:t xml:space="preserve"> encounters that fall short of</w:t>
      </w:r>
      <w:r w:rsidR="000D0D38" w:rsidRPr="005052F4">
        <w:t xml:space="preserve"> forcible detentions based on </w:t>
      </w:r>
      <w:r w:rsidR="00D859E5" w:rsidRPr="005052F4">
        <w:t xml:space="preserve"> </w:t>
      </w:r>
      <w:r w:rsidR="00E74F62" w:rsidRPr="005052F4">
        <w:t xml:space="preserve">reasonable suspicion of criminality require judicial </w:t>
      </w:r>
      <w:r w:rsidR="004E286F" w:rsidRPr="005052F4">
        <w:t xml:space="preserve">oversight </w:t>
      </w:r>
      <w:r w:rsidR="00E74F62" w:rsidRPr="005052F4">
        <w:t xml:space="preserve">to ensure that a proper balance is struck between </w:t>
      </w:r>
      <w:r w:rsidR="008F7C0F" w:rsidRPr="005052F4">
        <w:t xml:space="preserve">effective </w:t>
      </w:r>
      <w:r w:rsidR="000C5639" w:rsidRPr="005052F4">
        <w:t>police investigation</w:t>
      </w:r>
      <w:r w:rsidR="00D56713" w:rsidRPr="005052F4">
        <w:t>/officer</w:t>
      </w:r>
      <w:r w:rsidR="00B4037F" w:rsidRPr="005052F4">
        <w:t xml:space="preserve"> and public</w:t>
      </w:r>
      <w:r w:rsidR="00D56713" w:rsidRPr="005052F4">
        <w:t xml:space="preserve"> safety and </w:t>
      </w:r>
      <w:r w:rsidR="006352CB" w:rsidRPr="005052F4">
        <w:t>every</w:t>
      </w:r>
      <w:r w:rsidR="00D56713" w:rsidRPr="005052F4">
        <w:t xml:space="preserve"> individual’</w:t>
      </w:r>
      <w:r w:rsidR="00E0752E" w:rsidRPr="005052F4">
        <w:t xml:space="preserve">s </w:t>
      </w:r>
      <w:r w:rsidR="00D56713" w:rsidRPr="005052F4">
        <w:t>right</w:t>
      </w:r>
      <w:r w:rsidR="00E0752E" w:rsidRPr="005052F4">
        <w:t>, as plainly stated by Greta Garbo</w:t>
      </w:r>
      <w:r w:rsidR="00216E3E" w:rsidRPr="005052F4">
        <w:t>, to be le</w:t>
      </w:r>
      <w:r w:rsidR="004401B8" w:rsidRPr="005052F4">
        <w:t>t</w:t>
      </w:r>
      <w:r w:rsidR="00216E3E" w:rsidRPr="005052F4">
        <w:t xml:space="preserve"> alone (</w:t>
      </w:r>
      <w:r w:rsidR="004B17E8" w:rsidRPr="005052F4">
        <w:t>s</w:t>
      </w:r>
      <w:r w:rsidR="00706BF1" w:rsidRPr="005052F4">
        <w:t>e</w:t>
      </w:r>
      <w:r w:rsidR="004401B8" w:rsidRPr="005052F4">
        <w:t xml:space="preserve">e </w:t>
      </w:r>
      <w:r w:rsidR="00216E3E" w:rsidRPr="005052F4">
        <w:rPr>
          <w:i/>
          <w:iCs/>
        </w:rPr>
        <w:t xml:space="preserve">People v </w:t>
      </w:r>
      <w:proofErr w:type="spellStart"/>
      <w:r w:rsidR="00216E3E" w:rsidRPr="005052F4">
        <w:rPr>
          <w:i/>
          <w:iCs/>
        </w:rPr>
        <w:t>DeBour</w:t>
      </w:r>
      <w:proofErr w:type="spellEnd"/>
      <w:r w:rsidR="00216E3E" w:rsidRPr="005052F4">
        <w:t xml:space="preserve"> at 218</w:t>
      </w:r>
      <w:r w:rsidR="00706BF1" w:rsidRPr="005052F4">
        <w:t xml:space="preserve"> and “Grand Hotel</w:t>
      </w:r>
      <w:r w:rsidR="00297679" w:rsidRPr="005052F4">
        <w:t>”</w:t>
      </w:r>
      <w:r w:rsidR="00706BF1" w:rsidRPr="005052F4">
        <w:t xml:space="preserve"> [1932]).</w:t>
      </w:r>
    </w:p>
    <w:p w14:paraId="08C4A33D" w14:textId="40B7C000" w:rsidR="001D047E" w:rsidRPr="005052F4" w:rsidRDefault="00A6541D">
      <w:r w:rsidRPr="005052F4">
        <w:t xml:space="preserve">As noted in </w:t>
      </w:r>
      <w:r w:rsidRPr="005052F4">
        <w:rPr>
          <w:i/>
          <w:iCs/>
        </w:rPr>
        <w:t>People v Hollman</w:t>
      </w:r>
      <w:r w:rsidR="007D40FF" w:rsidRPr="005052F4">
        <w:t xml:space="preserve"> (79 NY2d 181, 196, [</w:t>
      </w:r>
      <w:r w:rsidR="00257781" w:rsidRPr="005052F4">
        <w:t>1992]), “</w:t>
      </w:r>
      <w:r w:rsidR="0002277D" w:rsidRPr="005052F4">
        <w:t>police encounters that a</w:t>
      </w:r>
      <w:r w:rsidR="00E97B58" w:rsidRPr="005052F4">
        <w:t xml:space="preserve">re </w:t>
      </w:r>
      <w:r w:rsidR="0002277D" w:rsidRPr="005052F4">
        <w:t xml:space="preserve">not Fourth Amendment seizures </w:t>
      </w:r>
      <w:r w:rsidR="002D256D" w:rsidRPr="005052F4">
        <w:t xml:space="preserve">should continue to be evaluated under </w:t>
      </w:r>
      <w:proofErr w:type="spellStart"/>
      <w:r w:rsidR="002D256D" w:rsidRPr="005052F4">
        <w:rPr>
          <w:i/>
          <w:iCs/>
        </w:rPr>
        <w:t>DeBour</w:t>
      </w:r>
      <w:proofErr w:type="spellEnd"/>
      <w:r w:rsidR="002D256D" w:rsidRPr="005052F4">
        <w:t xml:space="preserve"> because </w:t>
      </w:r>
      <w:r w:rsidR="007908BD" w:rsidRPr="005052F4">
        <w:t xml:space="preserve">judicial scrutiny of these encounters </w:t>
      </w:r>
      <w:r w:rsidR="00EF61C3" w:rsidRPr="005052F4">
        <w:t>best serves the aims of predictability and precision</w:t>
      </w:r>
      <w:r w:rsidR="00FB14FF" w:rsidRPr="005052F4">
        <w:t xml:space="preserve"> in judicial review of search and seizure cases and the protection of the individual rights of the public.”</w:t>
      </w:r>
    </w:p>
    <w:p w14:paraId="6B2A65EB" w14:textId="2604DD6A" w:rsidR="000D6C23" w:rsidRPr="005052F4" w:rsidRDefault="00AD5E0C">
      <w:r w:rsidRPr="005052F4">
        <w:t xml:space="preserve">Considering the </w:t>
      </w:r>
      <w:r w:rsidR="008A16A0" w:rsidRPr="005052F4">
        <w:t xml:space="preserve">divergence of opinions among prosecutors, defense attorneys and </w:t>
      </w:r>
      <w:r w:rsidR="00A97490" w:rsidRPr="005052F4">
        <w:t xml:space="preserve">judges </w:t>
      </w:r>
      <w:r w:rsidR="00B92FD1" w:rsidRPr="005052F4">
        <w:t xml:space="preserve">at the trial and appellate </w:t>
      </w:r>
      <w:r w:rsidR="00C37894" w:rsidRPr="005052F4">
        <w:t>level</w:t>
      </w:r>
      <w:r w:rsidR="00105006" w:rsidRPr="005052F4">
        <w:t>s</w:t>
      </w:r>
      <w:r w:rsidR="00CF13FC" w:rsidRPr="005052F4">
        <w:t xml:space="preserve"> regarding the</w:t>
      </w:r>
      <w:r w:rsidR="00981579" w:rsidRPr="005052F4">
        <w:t xml:space="preserve"> nature and degree of </w:t>
      </w:r>
      <w:r w:rsidR="00DE25BF" w:rsidRPr="005052F4">
        <w:t xml:space="preserve">permissive police intrusion in </w:t>
      </w:r>
      <w:r w:rsidR="000762E2" w:rsidRPr="005052F4">
        <w:t xml:space="preserve">any given case (see, for example, </w:t>
      </w:r>
      <w:r w:rsidR="000762E2" w:rsidRPr="005052F4">
        <w:rPr>
          <w:i/>
          <w:iCs/>
        </w:rPr>
        <w:t>People v Hollman</w:t>
      </w:r>
      <w:r w:rsidR="000762E2" w:rsidRPr="005052F4">
        <w:t xml:space="preserve">, supra, </w:t>
      </w:r>
      <w:r w:rsidR="000762E2" w:rsidRPr="005052F4">
        <w:rPr>
          <w:i/>
          <w:iCs/>
        </w:rPr>
        <w:t>People v Samuels</w:t>
      </w:r>
      <w:r w:rsidR="000762E2" w:rsidRPr="005052F4">
        <w:t xml:space="preserve">, </w:t>
      </w:r>
      <w:r w:rsidR="009B69F4" w:rsidRPr="005052F4">
        <w:t>50 NY2d 1035 [</w:t>
      </w:r>
      <w:r w:rsidR="001675B6" w:rsidRPr="005052F4">
        <w:t xml:space="preserve">1980], </w:t>
      </w:r>
      <w:r w:rsidR="001675B6" w:rsidRPr="005052F4">
        <w:rPr>
          <w:i/>
          <w:iCs/>
        </w:rPr>
        <w:t>People v Reyes</w:t>
      </w:r>
      <w:r w:rsidR="001675B6" w:rsidRPr="005052F4">
        <w:t xml:space="preserve">, </w:t>
      </w:r>
      <w:r w:rsidR="00373E40" w:rsidRPr="005052F4">
        <w:t>83 NY2d 945, [1994]</w:t>
      </w:r>
      <w:r w:rsidR="00FF19A1" w:rsidRPr="005052F4">
        <w:t xml:space="preserve">, </w:t>
      </w:r>
      <w:r w:rsidR="00AC18CD" w:rsidRPr="005052F4">
        <w:rPr>
          <w:i/>
          <w:iCs/>
        </w:rPr>
        <w:t>People v Ginty</w:t>
      </w:r>
      <w:r w:rsidR="00AC18CD" w:rsidRPr="005052F4">
        <w:t xml:space="preserve">, </w:t>
      </w:r>
      <w:r w:rsidR="009566A3" w:rsidRPr="005052F4">
        <w:t xml:space="preserve">204 AD3d 1487 </w:t>
      </w:r>
      <w:r w:rsidR="009D0991" w:rsidRPr="005052F4">
        <w:t>[4</w:t>
      </w:r>
      <w:r w:rsidR="009D0991" w:rsidRPr="005052F4">
        <w:rPr>
          <w:vertAlign w:val="superscript"/>
        </w:rPr>
        <w:t>th</w:t>
      </w:r>
      <w:r w:rsidR="009D0991" w:rsidRPr="005052F4">
        <w:t xml:space="preserve"> Dept </w:t>
      </w:r>
      <w:r w:rsidR="009566A3" w:rsidRPr="005052F4">
        <w:t>20</w:t>
      </w:r>
      <w:r w:rsidR="009D0991" w:rsidRPr="005052F4">
        <w:t xml:space="preserve">22], </w:t>
      </w:r>
      <w:r w:rsidR="00D15E21" w:rsidRPr="005052F4">
        <w:rPr>
          <w:i/>
          <w:iCs/>
        </w:rPr>
        <w:t>People v Thorne</w:t>
      </w:r>
      <w:r w:rsidR="00D15E21" w:rsidRPr="005052F4">
        <w:t xml:space="preserve">, </w:t>
      </w:r>
      <w:r w:rsidR="00753300" w:rsidRPr="005052F4">
        <w:t>20</w:t>
      </w:r>
      <w:r w:rsidR="009566A3" w:rsidRPr="005052F4">
        <w:t>7 AD3d 73</w:t>
      </w:r>
      <w:r w:rsidR="00753300" w:rsidRPr="005052F4">
        <w:t xml:space="preserve"> [1</w:t>
      </w:r>
      <w:r w:rsidR="00753300" w:rsidRPr="005052F4">
        <w:rPr>
          <w:vertAlign w:val="superscript"/>
        </w:rPr>
        <w:t>st</w:t>
      </w:r>
      <w:r w:rsidR="00753300" w:rsidRPr="005052F4">
        <w:t xml:space="preserve"> Dept </w:t>
      </w:r>
      <w:r w:rsidR="009566A3" w:rsidRPr="005052F4">
        <w:t>20</w:t>
      </w:r>
      <w:r w:rsidR="00E4596E" w:rsidRPr="005052F4">
        <w:t>22]</w:t>
      </w:r>
      <w:r w:rsidR="00EB6743" w:rsidRPr="005052F4">
        <w:t>,</w:t>
      </w:r>
      <w:r w:rsidR="006B5715" w:rsidRPr="005052F4">
        <w:t xml:space="preserve"> </w:t>
      </w:r>
      <w:r w:rsidR="009566A3" w:rsidRPr="005052F4">
        <w:rPr>
          <w:i/>
          <w:iCs/>
        </w:rPr>
        <w:t>People v Gates</w:t>
      </w:r>
      <w:r w:rsidR="009566A3" w:rsidRPr="005052F4">
        <w:t xml:space="preserve">, 152 AD3d 1222 </w:t>
      </w:r>
      <w:r w:rsidR="00E26E03" w:rsidRPr="005052F4">
        <w:t>[4</w:t>
      </w:r>
      <w:r w:rsidR="00E26E03" w:rsidRPr="005052F4">
        <w:rPr>
          <w:vertAlign w:val="superscript"/>
        </w:rPr>
        <w:t>th</w:t>
      </w:r>
      <w:r w:rsidR="00E26E03" w:rsidRPr="005052F4">
        <w:t xml:space="preserve"> Dept </w:t>
      </w:r>
      <w:r w:rsidR="009566A3" w:rsidRPr="005052F4">
        <w:t>2017</w:t>
      </w:r>
      <w:r w:rsidR="00E26E03" w:rsidRPr="005052F4">
        <w:t xml:space="preserve">], </w:t>
      </w:r>
      <w:r w:rsidR="00E26E03" w:rsidRPr="005052F4">
        <w:rPr>
          <w:i/>
          <w:iCs/>
        </w:rPr>
        <w:t>People v Garcia</w:t>
      </w:r>
      <w:r w:rsidR="00E26E03" w:rsidRPr="005052F4">
        <w:t xml:space="preserve">, </w:t>
      </w:r>
      <w:r w:rsidR="007A7E9F" w:rsidRPr="005052F4">
        <w:t>20</w:t>
      </w:r>
      <w:r w:rsidR="009566A3" w:rsidRPr="005052F4">
        <w:t xml:space="preserve"> NY3d 317 [2012]) </w:t>
      </w:r>
      <w:r w:rsidR="00787781" w:rsidRPr="005052F4">
        <w:t xml:space="preserve">it is difficult to conclude </w:t>
      </w:r>
      <w:r w:rsidR="005F3911" w:rsidRPr="005052F4">
        <w:t xml:space="preserve">with confidence </w:t>
      </w:r>
      <w:r w:rsidR="00787781" w:rsidRPr="005052F4">
        <w:t xml:space="preserve">that </w:t>
      </w:r>
      <w:r w:rsidR="005305C3" w:rsidRPr="005052F4">
        <w:t xml:space="preserve">analyzing </w:t>
      </w:r>
      <w:r w:rsidR="006C688C" w:rsidRPr="005052F4">
        <w:t xml:space="preserve">street encounters through the </w:t>
      </w:r>
      <w:r w:rsidR="00BA0976" w:rsidRPr="005052F4">
        <w:t xml:space="preserve">prism of </w:t>
      </w:r>
      <w:proofErr w:type="spellStart"/>
      <w:r w:rsidR="00BA0976" w:rsidRPr="005052F4">
        <w:rPr>
          <w:i/>
          <w:iCs/>
        </w:rPr>
        <w:t>DeBour</w:t>
      </w:r>
      <w:proofErr w:type="spellEnd"/>
      <w:r w:rsidR="00BA0976" w:rsidRPr="005052F4">
        <w:t xml:space="preserve"> is </w:t>
      </w:r>
      <w:r w:rsidR="00746A19" w:rsidRPr="005052F4">
        <w:t>particularly</w:t>
      </w:r>
      <w:r w:rsidR="00BA0976" w:rsidRPr="005052F4">
        <w:t xml:space="preserve"> predictable or precise.</w:t>
      </w:r>
    </w:p>
    <w:p w14:paraId="1EE8ABA9" w14:textId="03A27375" w:rsidR="005A19F8" w:rsidRPr="005052F4" w:rsidRDefault="00630E93">
      <w:r w:rsidRPr="005052F4">
        <w:t>A BRIEF RECAP</w:t>
      </w:r>
    </w:p>
    <w:p w14:paraId="07076401" w14:textId="2A07C466" w:rsidR="00630E93" w:rsidRPr="005052F4" w:rsidRDefault="00630E93">
      <w:r w:rsidRPr="005052F4">
        <w:t xml:space="preserve">As noted in </w:t>
      </w:r>
      <w:proofErr w:type="spellStart"/>
      <w:r w:rsidRPr="005052F4">
        <w:rPr>
          <w:i/>
          <w:iCs/>
        </w:rPr>
        <w:t>DeBour</w:t>
      </w:r>
      <w:proofErr w:type="spellEnd"/>
      <w:r w:rsidRPr="005052F4">
        <w:t xml:space="preserve">, </w:t>
      </w:r>
      <w:r w:rsidR="00073059" w:rsidRPr="005052F4">
        <w:t xml:space="preserve">when </w:t>
      </w:r>
      <w:r w:rsidR="001F1C99" w:rsidRPr="005052F4">
        <w:t xml:space="preserve">evaluating </w:t>
      </w:r>
      <w:r w:rsidR="0074668C" w:rsidRPr="005052F4">
        <w:t xml:space="preserve">police intrusions on a person’s </w:t>
      </w:r>
      <w:r w:rsidR="00D4764E" w:rsidRPr="005052F4">
        <w:t xml:space="preserve">freedom of </w:t>
      </w:r>
      <w:r w:rsidR="0074668C" w:rsidRPr="005052F4">
        <w:t>movement (which results in the seizure of incriminati</w:t>
      </w:r>
      <w:r w:rsidR="004D0950" w:rsidRPr="005052F4">
        <w:t xml:space="preserve">ng evidence </w:t>
      </w:r>
      <w:r w:rsidR="00D4764E" w:rsidRPr="005052F4">
        <w:t xml:space="preserve">from </w:t>
      </w:r>
      <w:r w:rsidR="004D0950" w:rsidRPr="005052F4">
        <w:t>his/her person or parked vehicle),</w:t>
      </w:r>
      <w:r w:rsidR="00D4764E" w:rsidRPr="005052F4">
        <w:t xml:space="preserve"> courts must </w:t>
      </w:r>
      <w:r w:rsidR="00464538" w:rsidRPr="005052F4">
        <w:t>first be satisfied that the police conduct was justified from the start</w:t>
      </w:r>
      <w:r w:rsidR="00AA6CE0" w:rsidRPr="005052F4">
        <w:t xml:space="preserve"> and</w:t>
      </w:r>
      <w:r w:rsidR="00656D0F" w:rsidRPr="005052F4">
        <w:t xml:space="preserve">, thereafter, reasonably related in scope to the circumstances thar </w:t>
      </w:r>
      <w:r w:rsidR="00FE12A4" w:rsidRPr="005052F4">
        <w:t>gave rise to th</w:t>
      </w:r>
      <w:r w:rsidR="00DA3222" w:rsidRPr="005052F4">
        <w:t>e encounter (</w:t>
      </w:r>
      <w:r w:rsidR="009566A3" w:rsidRPr="005052F4">
        <w:t>c</w:t>
      </w:r>
      <w:r w:rsidR="00073059" w:rsidRPr="005052F4">
        <w:t xml:space="preserve">iting </w:t>
      </w:r>
      <w:r w:rsidR="00DA3222" w:rsidRPr="005052F4">
        <w:rPr>
          <w:i/>
          <w:iCs/>
        </w:rPr>
        <w:t>People v Cantor</w:t>
      </w:r>
      <w:r w:rsidR="00DA3222" w:rsidRPr="005052F4">
        <w:t>, 36 NY2d 106 [1975]).</w:t>
      </w:r>
    </w:p>
    <w:p w14:paraId="2B68777C" w14:textId="5E4D67BC" w:rsidR="00073059" w:rsidRPr="005052F4" w:rsidRDefault="00617E69">
      <w:r w:rsidRPr="005052F4">
        <w:lastRenderedPageBreak/>
        <w:t>Courts must then determine the</w:t>
      </w:r>
      <w:r w:rsidR="00E95C78" w:rsidRPr="005052F4">
        <w:t xml:space="preserve"> level of </w:t>
      </w:r>
      <w:r w:rsidR="000705F6" w:rsidRPr="005052F4">
        <w:t xml:space="preserve">permissible </w:t>
      </w:r>
      <w:r w:rsidR="00C91568" w:rsidRPr="005052F4">
        <w:t>intrusion and inquiry</w:t>
      </w:r>
      <w:r w:rsidR="002E364E" w:rsidRPr="005052F4">
        <w:t xml:space="preserve"> based on information possessed and observations made by </w:t>
      </w:r>
      <w:r w:rsidR="00111A56" w:rsidRPr="005052F4">
        <w:t xml:space="preserve">the police of the individual’s conduct </w:t>
      </w:r>
      <w:r w:rsidR="00B74C71" w:rsidRPr="005052F4">
        <w:t xml:space="preserve">in the context </w:t>
      </w:r>
      <w:r w:rsidR="002754E6" w:rsidRPr="005052F4">
        <w:t xml:space="preserve">of the time, </w:t>
      </w:r>
      <w:r w:rsidR="00C227E0" w:rsidRPr="005052F4">
        <w:t xml:space="preserve">place, </w:t>
      </w:r>
      <w:r w:rsidR="002754E6" w:rsidRPr="005052F4">
        <w:t xml:space="preserve">and circumstances </w:t>
      </w:r>
      <w:r w:rsidR="00752A9E" w:rsidRPr="005052F4">
        <w:t xml:space="preserve">of the </w:t>
      </w:r>
      <w:r w:rsidR="00C91568" w:rsidRPr="005052F4">
        <w:t>encounter.</w:t>
      </w:r>
    </w:p>
    <w:p w14:paraId="5F1B99E1" w14:textId="34E04308" w:rsidR="00C227E0" w:rsidRPr="005052F4" w:rsidRDefault="00C227E0">
      <w:r w:rsidRPr="005052F4">
        <w:t>So,</w:t>
      </w:r>
      <w:r w:rsidR="00B61C55" w:rsidRPr="005052F4">
        <w:t xml:space="preserve"> if</w:t>
      </w:r>
      <w:r w:rsidRPr="005052F4">
        <w:t xml:space="preserve"> an officer has an </w:t>
      </w:r>
      <w:r w:rsidR="00604F1D" w:rsidRPr="005052F4">
        <w:t xml:space="preserve">OBJECTIVE CREDIBLE REASON </w:t>
      </w:r>
      <w:r w:rsidR="00E5446E" w:rsidRPr="005052F4">
        <w:t>(beyond speculation</w:t>
      </w:r>
      <w:r w:rsidR="00091A6C" w:rsidRPr="005052F4">
        <w:t xml:space="preserve">, idle </w:t>
      </w:r>
      <w:r w:rsidR="004C6C95" w:rsidRPr="005052F4">
        <w:t xml:space="preserve">curiosity, </w:t>
      </w:r>
      <w:r w:rsidR="00715283" w:rsidRPr="005052F4">
        <w:t>or an unsubstantiated hunch</w:t>
      </w:r>
      <w:r w:rsidR="0017774D" w:rsidRPr="005052F4">
        <w:t>), not necessarily indicative of criminality, he she may approach an individua</w:t>
      </w:r>
      <w:r w:rsidR="00EB4463" w:rsidRPr="005052F4">
        <w:t xml:space="preserve">l </w:t>
      </w:r>
      <w:r w:rsidR="0017774D" w:rsidRPr="005052F4">
        <w:t xml:space="preserve">and ask </w:t>
      </w:r>
      <w:r w:rsidR="00980721" w:rsidRPr="005052F4">
        <w:t xml:space="preserve">relatively innocuous questions such as </w:t>
      </w:r>
      <w:r w:rsidR="00262CA6" w:rsidRPr="005052F4">
        <w:t>“what’s</w:t>
      </w:r>
      <w:r w:rsidR="00980721" w:rsidRPr="005052F4">
        <w:t xml:space="preserve"> your name, where are you coming from and where are you going?”</w:t>
      </w:r>
      <w:r w:rsidR="00D87A7A" w:rsidRPr="005052F4">
        <w:t xml:space="preserve"> (LEVEL 1).</w:t>
      </w:r>
    </w:p>
    <w:p w14:paraId="077710C7" w14:textId="24663D34" w:rsidR="00D87A7A" w:rsidRPr="005052F4" w:rsidRDefault="00D87A7A">
      <w:r w:rsidRPr="005052F4">
        <w:t xml:space="preserve">Of course, the </w:t>
      </w:r>
      <w:r w:rsidR="00262CA6" w:rsidRPr="005052F4">
        <w:t xml:space="preserve">individual would be within his/her rights to </w:t>
      </w:r>
      <w:r w:rsidR="00310F6C" w:rsidRPr="005052F4">
        <w:t>say nothing or “none of your business,” and keep on walking</w:t>
      </w:r>
      <w:r w:rsidR="00CC2D38" w:rsidRPr="005052F4">
        <w:t xml:space="preserve"> (</w:t>
      </w:r>
      <w:r w:rsidR="00CC2D38" w:rsidRPr="005052F4">
        <w:rPr>
          <w:i/>
          <w:iCs/>
        </w:rPr>
        <w:t>People v Howard</w:t>
      </w:r>
      <w:r w:rsidR="00CC2D38" w:rsidRPr="005052F4">
        <w:t xml:space="preserve">, </w:t>
      </w:r>
      <w:r w:rsidR="006775BF" w:rsidRPr="005052F4">
        <w:t xml:space="preserve">50 NY2d 583, </w:t>
      </w:r>
      <w:r w:rsidR="00C21305" w:rsidRPr="005052F4">
        <w:t>[1980]</w:t>
      </w:r>
      <w:r w:rsidR="001C3F14" w:rsidRPr="005052F4">
        <w:t>)</w:t>
      </w:r>
      <w:r w:rsidR="009903F4" w:rsidRPr="005052F4">
        <w:t xml:space="preserve">. That </w:t>
      </w:r>
      <w:r w:rsidR="00481120" w:rsidRPr="005052F4">
        <w:t>d</w:t>
      </w:r>
      <w:r w:rsidR="009903F4" w:rsidRPr="005052F4">
        <w:t xml:space="preserve">oes </w:t>
      </w:r>
      <w:r w:rsidR="00C21305" w:rsidRPr="005052F4">
        <w:t xml:space="preserve">not </w:t>
      </w:r>
      <w:r w:rsidR="00163EC8" w:rsidRPr="005052F4">
        <w:t>guarantee</w:t>
      </w:r>
      <w:r w:rsidR="00293753" w:rsidRPr="005052F4">
        <w:t>, however,</w:t>
      </w:r>
      <w:r w:rsidR="00163EC8" w:rsidRPr="005052F4">
        <w:t xml:space="preserve"> that the officer </w:t>
      </w:r>
      <w:r w:rsidR="00845C79" w:rsidRPr="005052F4">
        <w:t xml:space="preserve">will simply give up without </w:t>
      </w:r>
      <w:r w:rsidR="0061152B" w:rsidRPr="005052F4">
        <w:t>further inquiry</w:t>
      </w:r>
      <w:r w:rsidR="009566A3" w:rsidRPr="005052F4">
        <w:t>.</w:t>
      </w:r>
      <w:r w:rsidR="0061152B" w:rsidRPr="005052F4">
        <w:t xml:space="preserve"> </w:t>
      </w:r>
      <w:r w:rsidR="00293753" w:rsidRPr="005052F4">
        <w:t xml:space="preserve">Odds are the </w:t>
      </w:r>
      <w:r w:rsidR="00F6653D" w:rsidRPr="005052F4">
        <w:t>encounter will escalate.</w:t>
      </w:r>
    </w:p>
    <w:p w14:paraId="426E8110" w14:textId="0CFFA155" w:rsidR="00946114" w:rsidRPr="005052F4" w:rsidRDefault="00026CD6">
      <w:r w:rsidRPr="005052F4">
        <w:t xml:space="preserve">At level 2, according to </w:t>
      </w:r>
      <w:proofErr w:type="spellStart"/>
      <w:r w:rsidRPr="005052F4">
        <w:rPr>
          <w:i/>
          <w:iCs/>
        </w:rPr>
        <w:t>DeBour</w:t>
      </w:r>
      <w:proofErr w:type="spellEnd"/>
      <w:r w:rsidRPr="005052F4">
        <w:t xml:space="preserve">, an officer may </w:t>
      </w:r>
      <w:r w:rsidR="002D7F0E" w:rsidRPr="005052F4">
        <w:t>make more pointed inquiries if he/she has a FOUNDED SUSPICION o</w:t>
      </w:r>
      <w:r w:rsidR="00923C42" w:rsidRPr="005052F4">
        <w:t>f</w:t>
      </w:r>
      <w:r w:rsidR="002D7F0E" w:rsidRPr="005052F4">
        <w:t xml:space="preserve"> criminal activity afoot</w:t>
      </w:r>
      <w:r w:rsidR="002F78BD" w:rsidRPr="005052F4">
        <w:t xml:space="preserve">. </w:t>
      </w:r>
      <w:r w:rsidR="00140408" w:rsidRPr="005052F4">
        <w:t xml:space="preserve">If, for example, </w:t>
      </w:r>
      <w:r w:rsidR="00C56024" w:rsidRPr="005052F4">
        <w:t>t</w:t>
      </w:r>
      <w:r w:rsidR="002C4C03" w:rsidRPr="005052F4">
        <w:t xml:space="preserve">he police observe a suspect walking quickly away from the </w:t>
      </w:r>
      <w:r w:rsidR="004909A3" w:rsidRPr="005052F4">
        <w:t>scene of a</w:t>
      </w:r>
      <w:r w:rsidR="00B2655A" w:rsidRPr="005052F4">
        <w:t xml:space="preserve"> </w:t>
      </w:r>
      <w:r w:rsidR="001C3F14" w:rsidRPr="005052F4">
        <w:t xml:space="preserve">very </w:t>
      </w:r>
      <w:r w:rsidR="00B15953" w:rsidRPr="005052F4">
        <w:t xml:space="preserve">recent crime </w:t>
      </w:r>
      <w:r w:rsidR="00B624B5" w:rsidRPr="005052F4">
        <w:t xml:space="preserve">(e.g., </w:t>
      </w:r>
      <w:r w:rsidR="00753512" w:rsidRPr="005052F4">
        <w:t xml:space="preserve">residential </w:t>
      </w:r>
      <w:r w:rsidR="00B624B5" w:rsidRPr="005052F4">
        <w:t>burglary</w:t>
      </w:r>
      <w:r w:rsidR="00851E83" w:rsidRPr="005052F4">
        <w:t xml:space="preserve">) </w:t>
      </w:r>
      <w:r w:rsidR="00266674" w:rsidRPr="005052F4">
        <w:t xml:space="preserve">carrying a </w:t>
      </w:r>
      <w:r w:rsidR="00753512" w:rsidRPr="005052F4">
        <w:t>stereo, they</w:t>
      </w:r>
      <w:r w:rsidR="001C3F14" w:rsidRPr="005052F4">
        <w:t xml:space="preserve"> </w:t>
      </w:r>
      <w:r w:rsidR="00B15953" w:rsidRPr="005052F4">
        <w:t xml:space="preserve">would </w:t>
      </w:r>
      <w:r w:rsidR="001C3F14" w:rsidRPr="005052F4">
        <w:t xml:space="preserve">likely be justified </w:t>
      </w:r>
      <w:r w:rsidR="00B15953" w:rsidRPr="005052F4">
        <w:t>in asking, “</w:t>
      </w:r>
      <w:r w:rsidR="00D301C2" w:rsidRPr="005052F4">
        <w:t>where did you get that stereo?”</w:t>
      </w:r>
    </w:p>
    <w:p w14:paraId="5B843D22" w14:textId="3E432B88" w:rsidR="006509F2" w:rsidRPr="005052F4" w:rsidRDefault="006509F2">
      <w:r w:rsidRPr="005052F4">
        <w:t xml:space="preserve">If the police have a REASONABLE SUSPICION </w:t>
      </w:r>
      <w:r w:rsidR="007842FB" w:rsidRPr="005052F4">
        <w:t xml:space="preserve">of criminality at hand (e.g., </w:t>
      </w:r>
      <w:r w:rsidR="00A86B08" w:rsidRPr="005052F4">
        <w:t xml:space="preserve">person </w:t>
      </w:r>
      <w:r w:rsidR="007842FB" w:rsidRPr="005052F4">
        <w:t xml:space="preserve"> matches the description </w:t>
      </w:r>
      <w:r w:rsidR="000E679F" w:rsidRPr="005052F4">
        <w:t xml:space="preserve">of a suspect in a </w:t>
      </w:r>
      <w:r w:rsidR="00050C59" w:rsidRPr="005052F4">
        <w:t>robbery of a nearby deli</w:t>
      </w:r>
      <w:r w:rsidR="0052412A" w:rsidRPr="005052F4">
        <w:t xml:space="preserve"> that just occurred), they would most likely</w:t>
      </w:r>
      <w:r w:rsidR="00A45821" w:rsidRPr="005052F4">
        <w:t xml:space="preserve"> be</w:t>
      </w:r>
      <w:r w:rsidR="000F1422" w:rsidRPr="005052F4">
        <w:t xml:space="preserve"> </w:t>
      </w:r>
      <w:r w:rsidR="0052412A" w:rsidRPr="005052F4">
        <w:t xml:space="preserve"> justified in forcibly detaining the individual, asking </w:t>
      </w:r>
      <w:r w:rsidR="000F1422" w:rsidRPr="005052F4">
        <w:t xml:space="preserve">him/her questions about his/her recent activities and </w:t>
      </w:r>
      <w:r w:rsidR="00A45821" w:rsidRPr="005052F4">
        <w:t xml:space="preserve">forcibly detaining him/her </w:t>
      </w:r>
      <w:r w:rsidR="00150CF1" w:rsidRPr="005052F4">
        <w:t>long enough to transport him/her to the scene for a show-up identification procedure. (</w:t>
      </w:r>
      <w:r w:rsidR="00E444E6" w:rsidRPr="005052F4">
        <w:rPr>
          <w:i/>
          <w:iCs/>
        </w:rPr>
        <w:t>People v Hicks</w:t>
      </w:r>
      <w:r w:rsidR="00E444E6" w:rsidRPr="005052F4">
        <w:t xml:space="preserve">, </w:t>
      </w:r>
      <w:r w:rsidR="00481120" w:rsidRPr="005052F4">
        <w:t>68 NY2d 234 [1986])</w:t>
      </w:r>
      <w:r w:rsidR="00014DB6" w:rsidRPr="005052F4">
        <w:t>.</w:t>
      </w:r>
      <w:r w:rsidR="00D4663D" w:rsidRPr="005052F4">
        <w:t xml:space="preserve"> (LEVEL 3).</w:t>
      </w:r>
    </w:p>
    <w:p w14:paraId="75633DAA" w14:textId="6AE712EA" w:rsidR="00D4663D" w:rsidRPr="005052F4" w:rsidRDefault="00D4663D">
      <w:r w:rsidRPr="005052F4">
        <w:t xml:space="preserve">If during the encounter the officer has reason to believe that the suspect is armed (e.g., based on </w:t>
      </w:r>
      <w:r w:rsidR="00F513F0" w:rsidRPr="005052F4">
        <w:t xml:space="preserve">information that the robber </w:t>
      </w:r>
      <w:r w:rsidR="00292586" w:rsidRPr="005052F4">
        <w:t xml:space="preserve">had a weapon, </w:t>
      </w:r>
      <w:r w:rsidR="0001358A" w:rsidRPr="005052F4">
        <w:t xml:space="preserve">observation of a bulge in the suspect’s clothing </w:t>
      </w:r>
      <w:r w:rsidR="002B5193" w:rsidRPr="005052F4">
        <w:t xml:space="preserve">or other furtive behaviors </w:t>
      </w:r>
      <w:r w:rsidR="00A37D97" w:rsidRPr="005052F4">
        <w:t xml:space="preserve">giving the officer pause for his/her safety), </w:t>
      </w:r>
      <w:r w:rsidR="00F306A8" w:rsidRPr="005052F4">
        <w:t>he/she may conduct a pat-down search</w:t>
      </w:r>
      <w:r w:rsidR="00FE0BCE" w:rsidRPr="005052F4">
        <w:t xml:space="preserve"> of the suspect (</w:t>
      </w:r>
      <w:r w:rsidR="00FE0BCE" w:rsidRPr="005052F4">
        <w:rPr>
          <w:i/>
          <w:iCs/>
        </w:rPr>
        <w:t>Terry v Ohio</w:t>
      </w:r>
      <w:r w:rsidR="00FE0BCE" w:rsidRPr="005052F4">
        <w:t xml:space="preserve">, </w:t>
      </w:r>
      <w:r w:rsidR="00B162BA" w:rsidRPr="005052F4">
        <w:t>392 US 1 [1968])</w:t>
      </w:r>
      <w:r w:rsidR="00E253A2" w:rsidRPr="005052F4">
        <w:t>.</w:t>
      </w:r>
    </w:p>
    <w:p w14:paraId="28F65699" w14:textId="77777777" w:rsidR="001F1ED7" w:rsidRPr="005052F4" w:rsidRDefault="005D7443">
      <w:r w:rsidRPr="005052F4">
        <w:t xml:space="preserve">Finally, if the officer has PROBABLE CAUSE to believe thar the suspect has committed, is committing or </w:t>
      </w:r>
      <w:r w:rsidR="005B5B0A" w:rsidRPr="005052F4">
        <w:t xml:space="preserve">is about to commit a crime (e.g., </w:t>
      </w:r>
      <w:r w:rsidR="0049352B" w:rsidRPr="005052F4">
        <w:t xml:space="preserve">leaving the scene of </w:t>
      </w:r>
      <w:r w:rsidR="00135F4A" w:rsidRPr="005052F4">
        <w:t>an arson fire</w:t>
      </w:r>
      <w:r w:rsidR="0049352B" w:rsidRPr="005052F4">
        <w:t xml:space="preserve"> with a gas can and lighter in hand</w:t>
      </w:r>
      <w:r w:rsidR="00135F4A" w:rsidRPr="005052F4">
        <w:t>), he/she may arrest the individual and search him/her incident thereto</w:t>
      </w:r>
      <w:r w:rsidR="001F1ED7" w:rsidRPr="005052F4">
        <w:t>.</w:t>
      </w:r>
    </w:p>
    <w:p w14:paraId="30534506" w14:textId="77777777" w:rsidR="006B3089" w:rsidRPr="005052F4" w:rsidRDefault="00976B21">
      <w:r w:rsidRPr="005052F4">
        <w:t xml:space="preserve"> </w:t>
      </w:r>
      <w:r w:rsidR="006B3089" w:rsidRPr="005052F4">
        <w:t>DEBOUR APPROACH CALLED INTO QUESTION</w:t>
      </w:r>
    </w:p>
    <w:p w14:paraId="0CC66629" w14:textId="7B940A45" w:rsidR="00A459A5" w:rsidRPr="005052F4" w:rsidRDefault="006B3089">
      <w:r w:rsidRPr="005052F4">
        <w:t xml:space="preserve">As a practical matter, </w:t>
      </w:r>
      <w:r w:rsidR="0037337B" w:rsidRPr="005052F4">
        <w:t>attempting to pigeon-</w:t>
      </w:r>
      <w:r w:rsidR="00173D1B" w:rsidRPr="005052F4">
        <w:t>hole what</w:t>
      </w:r>
      <w:r w:rsidR="001F0D9A" w:rsidRPr="005052F4">
        <w:t xml:space="preserve"> are often fluid and </w:t>
      </w:r>
      <w:r w:rsidR="00E17C0F" w:rsidRPr="005052F4">
        <w:t xml:space="preserve">fast-moving </w:t>
      </w:r>
      <w:r w:rsidR="00AE549B" w:rsidRPr="005052F4">
        <w:t>confrontations into discreet categ</w:t>
      </w:r>
      <w:r w:rsidR="005E3A8B" w:rsidRPr="005052F4">
        <w:t xml:space="preserve">ories of permissible intrusion </w:t>
      </w:r>
      <w:r w:rsidR="00173D1B" w:rsidRPr="005052F4">
        <w:t xml:space="preserve">is </w:t>
      </w:r>
      <w:r w:rsidR="00A4797A" w:rsidRPr="005052F4">
        <w:t xml:space="preserve">neither easy nor </w:t>
      </w:r>
      <w:r w:rsidR="00962245" w:rsidRPr="005052F4">
        <w:t>demonstrably effective</w:t>
      </w:r>
      <w:r w:rsidR="00173D1B" w:rsidRPr="005052F4">
        <w:t xml:space="preserve">. </w:t>
      </w:r>
      <w:r w:rsidR="00E17C0F" w:rsidRPr="005052F4">
        <w:t xml:space="preserve">Just recently, at least one member of the Court of Appeals </w:t>
      </w:r>
      <w:r w:rsidR="0083683C" w:rsidRPr="005052F4">
        <w:t xml:space="preserve">in </w:t>
      </w:r>
      <w:r w:rsidR="0083683C" w:rsidRPr="005052F4">
        <w:rPr>
          <w:i/>
          <w:iCs/>
        </w:rPr>
        <w:t>People v Johnson</w:t>
      </w:r>
      <w:r w:rsidR="002D0F2A" w:rsidRPr="005052F4">
        <w:t xml:space="preserve"> (_NY3d_, 2023 NY Slip Op 02734 [2023, Rivera. J., concurring]) </w:t>
      </w:r>
      <w:r w:rsidR="004F0348" w:rsidRPr="005052F4">
        <w:t xml:space="preserve">recommended that the </w:t>
      </w:r>
      <w:proofErr w:type="spellStart"/>
      <w:r w:rsidR="004F0348" w:rsidRPr="005052F4">
        <w:rPr>
          <w:i/>
          <w:iCs/>
        </w:rPr>
        <w:t>DeBour</w:t>
      </w:r>
      <w:proofErr w:type="spellEnd"/>
      <w:r w:rsidR="004F0348" w:rsidRPr="005052F4">
        <w:rPr>
          <w:i/>
          <w:iCs/>
        </w:rPr>
        <w:t xml:space="preserve"> </w:t>
      </w:r>
      <w:r w:rsidR="00027045" w:rsidRPr="005052F4">
        <w:t>framework be dismantled and disregarded as antiquated</w:t>
      </w:r>
      <w:r w:rsidR="00980E07" w:rsidRPr="005052F4">
        <w:t xml:space="preserve">, </w:t>
      </w:r>
      <w:r w:rsidR="004F5097" w:rsidRPr="005052F4">
        <w:t xml:space="preserve">ineffectual, </w:t>
      </w:r>
      <w:r w:rsidR="00AC35CB" w:rsidRPr="005052F4">
        <w:t>and counterproductive</w:t>
      </w:r>
      <w:r w:rsidR="00027045" w:rsidRPr="005052F4">
        <w:t xml:space="preserve"> in terms of protecting </w:t>
      </w:r>
      <w:r w:rsidR="003C737A" w:rsidRPr="005052F4">
        <w:t xml:space="preserve">the privacy rights of </w:t>
      </w:r>
      <w:r w:rsidR="00027045" w:rsidRPr="005052F4">
        <w:t>individual</w:t>
      </w:r>
      <w:r w:rsidR="003C737A" w:rsidRPr="005052F4">
        <w:t>s</w:t>
      </w:r>
      <w:r w:rsidR="00027045" w:rsidRPr="005052F4">
        <w:t xml:space="preserve"> (</w:t>
      </w:r>
      <w:r w:rsidR="008739E9" w:rsidRPr="005052F4">
        <w:t>in particular, minorities</w:t>
      </w:r>
      <w:r w:rsidR="003C737A" w:rsidRPr="005052F4">
        <w:t>) from</w:t>
      </w:r>
      <w:r w:rsidR="00586B88" w:rsidRPr="005052F4">
        <w:t xml:space="preserve"> overly</w:t>
      </w:r>
      <w:r w:rsidR="003C737A" w:rsidRPr="005052F4">
        <w:t xml:space="preserve"> aggressive police investigative </w:t>
      </w:r>
      <w:r w:rsidR="00370E0A" w:rsidRPr="005052F4">
        <w:t xml:space="preserve">tactics </w:t>
      </w:r>
      <w:r w:rsidR="003D17BD" w:rsidRPr="005052F4">
        <w:t>on something less than reasonable suspicion.</w:t>
      </w:r>
    </w:p>
    <w:p w14:paraId="638C970B" w14:textId="2C6F3251" w:rsidR="00370E0A" w:rsidRPr="005052F4" w:rsidRDefault="00370E0A">
      <w:r w:rsidRPr="005052F4">
        <w:t>In that case, t</w:t>
      </w:r>
      <w:r w:rsidR="004F5097" w:rsidRPr="005052F4">
        <w:t xml:space="preserve">wo officers on patrol in an area </w:t>
      </w:r>
      <w:r w:rsidR="007A5D71" w:rsidRPr="005052F4">
        <w:t>beset by a spike in violent crime noticed a Ford Explorer legally parked about 50 feet ahead of their patrol car. As they pulled up behind the vehicle, they observe</w:t>
      </w:r>
      <w:r w:rsidR="00B57862" w:rsidRPr="005052F4">
        <w:t xml:space="preserve">d </w:t>
      </w:r>
      <w:r w:rsidR="007A5D71" w:rsidRPr="005052F4">
        <w:t>the sole occupant (the defendant) shimmy over from the drive</w:t>
      </w:r>
      <w:r w:rsidR="007B4937" w:rsidRPr="005052F4">
        <w:t xml:space="preserve">r’s seat </w:t>
      </w:r>
      <w:r w:rsidR="007A5D71" w:rsidRPr="005052F4">
        <w:t xml:space="preserve">to the passenger side after which he leaned his </w:t>
      </w:r>
      <w:r w:rsidR="00BF1AA1" w:rsidRPr="005052F4">
        <w:t xml:space="preserve">upper torso back over toward the </w:t>
      </w:r>
      <w:r w:rsidR="007B4937" w:rsidRPr="005052F4">
        <w:t xml:space="preserve">driver’s </w:t>
      </w:r>
      <w:r w:rsidR="00BF1AA1" w:rsidRPr="005052F4">
        <w:t xml:space="preserve">side. (One of the officers </w:t>
      </w:r>
      <w:r w:rsidR="00B57862" w:rsidRPr="005052F4">
        <w:t xml:space="preserve">testified that he suspected that </w:t>
      </w:r>
      <w:r w:rsidR="00F300BA" w:rsidRPr="005052F4">
        <w:t xml:space="preserve">the defendant might </w:t>
      </w:r>
      <w:r w:rsidR="001D5DC4" w:rsidRPr="005052F4">
        <w:t xml:space="preserve">have been reaching </w:t>
      </w:r>
      <w:r w:rsidR="00F300BA" w:rsidRPr="005052F4">
        <w:t>for or disposing of a weapon).</w:t>
      </w:r>
    </w:p>
    <w:p w14:paraId="017C3199" w14:textId="3AEE9AF4" w:rsidR="00F300BA" w:rsidRPr="005052F4" w:rsidRDefault="0051581F">
      <w:r w:rsidRPr="005052F4">
        <w:lastRenderedPageBreak/>
        <w:t xml:space="preserve">The officers exited their cruiser and approached the </w:t>
      </w:r>
      <w:r w:rsidR="004D3818" w:rsidRPr="005052F4">
        <w:t>vehicle whereupon the defendant got ou</w:t>
      </w:r>
      <w:r w:rsidR="001D5DC4" w:rsidRPr="005052F4">
        <w:t xml:space="preserve">t </w:t>
      </w:r>
      <w:r w:rsidR="00982515" w:rsidRPr="005052F4">
        <w:t xml:space="preserve">of the </w:t>
      </w:r>
      <w:r w:rsidR="004D3818" w:rsidRPr="005052F4">
        <w:t xml:space="preserve">passenger side and started walking away. As he did so, he </w:t>
      </w:r>
      <w:r w:rsidR="00B37927" w:rsidRPr="005052F4">
        <w:t>was pulling up his trousers which were undone</w:t>
      </w:r>
      <w:r w:rsidR="001D5DC4" w:rsidRPr="005052F4">
        <w:t>.</w:t>
      </w:r>
    </w:p>
    <w:p w14:paraId="21D82EE3" w14:textId="325608CF" w:rsidR="00982515" w:rsidRPr="005052F4" w:rsidRDefault="00982515">
      <w:r w:rsidRPr="005052F4">
        <w:t>One of the officers asked the defendant to “hold up</w:t>
      </w:r>
      <w:r w:rsidR="00CB1600" w:rsidRPr="005052F4">
        <w:t xml:space="preserve">,” but the defendant continued walking. As they caught up to him, one </w:t>
      </w:r>
      <w:r w:rsidR="007943FB" w:rsidRPr="005052F4">
        <w:t xml:space="preserve">asked the defendant, “are you nervous,” to which he replied “no.” </w:t>
      </w:r>
      <w:r w:rsidR="00D7054C" w:rsidRPr="005052F4">
        <w:t>He was then asked, “do you have any weapons on you</w:t>
      </w:r>
      <w:r w:rsidR="00F75AD7" w:rsidRPr="005052F4">
        <w:t xml:space="preserve">?” He replied, “nothing.” One of the </w:t>
      </w:r>
      <w:r w:rsidR="00C0641F" w:rsidRPr="005052F4">
        <w:t xml:space="preserve">officers </w:t>
      </w:r>
      <w:r w:rsidR="00F75AD7" w:rsidRPr="005052F4">
        <w:t>frisked the defendan</w:t>
      </w:r>
      <w:r w:rsidR="00C0641F" w:rsidRPr="005052F4">
        <w:t>t and felt what he though</w:t>
      </w:r>
      <w:r w:rsidR="004E1900" w:rsidRPr="005052F4">
        <w:t>t</w:t>
      </w:r>
      <w:r w:rsidR="00C0641F" w:rsidRPr="005052F4">
        <w:t xml:space="preserve"> might be a bag of drugs. No </w:t>
      </w:r>
      <w:r w:rsidR="00567E2D" w:rsidRPr="005052F4">
        <w:t>outline of any weapon was observed.</w:t>
      </w:r>
    </w:p>
    <w:p w14:paraId="6DC47595" w14:textId="0D5AE8EE" w:rsidR="00567E2D" w:rsidRPr="005052F4" w:rsidRDefault="00FC4F1D">
      <w:r w:rsidRPr="005052F4">
        <w:t>The officer asked, “what’s in your pocket?” The defendant said, “nothing.</w:t>
      </w:r>
      <w:r w:rsidR="00182A4F" w:rsidRPr="005052F4">
        <w:t>” He then began emptying his pocket</w:t>
      </w:r>
      <w:r w:rsidR="00FF40B1" w:rsidRPr="005052F4">
        <w:t xml:space="preserve">s which included two bags of marijuana. He also had a </w:t>
      </w:r>
      <w:r w:rsidR="00251256" w:rsidRPr="005052F4">
        <w:t>bag of heroin balled up in his fist.</w:t>
      </w:r>
    </w:p>
    <w:p w14:paraId="5BC2B3A6" w14:textId="0C31533F" w:rsidR="00251256" w:rsidRPr="005052F4" w:rsidRDefault="00251256">
      <w:r w:rsidRPr="005052F4">
        <w:t>The trial court denied the defendant’s motion to suppres</w:t>
      </w:r>
      <w:r w:rsidR="00CB139B" w:rsidRPr="005052F4">
        <w:t>s</w:t>
      </w:r>
      <w:r w:rsidR="001909DF" w:rsidRPr="005052F4">
        <w:t xml:space="preserve">, rejecting the defendant’s argument that the </w:t>
      </w:r>
      <w:r w:rsidR="00A76810" w:rsidRPr="005052F4">
        <w:t xml:space="preserve">approach, </w:t>
      </w:r>
      <w:r w:rsidR="008A3AF9" w:rsidRPr="005052F4">
        <w:t xml:space="preserve">inquiry, </w:t>
      </w:r>
      <w:r w:rsidR="00A76810" w:rsidRPr="005052F4">
        <w:t xml:space="preserve">and pat down violated levels one, two and three of </w:t>
      </w:r>
      <w:proofErr w:type="spellStart"/>
      <w:r w:rsidR="00A76810" w:rsidRPr="005052F4">
        <w:rPr>
          <w:i/>
          <w:iCs/>
        </w:rPr>
        <w:t>DeBour</w:t>
      </w:r>
      <w:proofErr w:type="spellEnd"/>
      <w:r w:rsidR="00A76810" w:rsidRPr="005052F4">
        <w:t xml:space="preserve">. </w:t>
      </w:r>
      <w:r w:rsidR="00834B9F" w:rsidRPr="005052F4">
        <w:t xml:space="preserve">The court concluded that the defendant’s movements inside the vehicle followed by his evasive conduct and </w:t>
      </w:r>
      <w:r w:rsidR="005958D6" w:rsidRPr="005052F4">
        <w:t xml:space="preserve">adjusting his trousers were consistent with </w:t>
      </w:r>
      <w:r w:rsidR="00216D14" w:rsidRPr="005052F4">
        <w:t>possession of a weapon.</w:t>
      </w:r>
      <w:r w:rsidR="00CB139B" w:rsidRPr="005052F4">
        <w:t xml:space="preserve"> </w:t>
      </w:r>
      <w:r w:rsidR="009C3186" w:rsidRPr="005052F4">
        <w:t xml:space="preserve">Following a bench trial, the court found the defendant </w:t>
      </w:r>
      <w:r w:rsidR="00CB139B" w:rsidRPr="005052F4">
        <w:t>guilty of Criminal Possession of a Controlled Substance 3d degree</w:t>
      </w:r>
      <w:r w:rsidR="0076495A" w:rsidRPr="005052F4">
        <w:t xml:space="preserve"> for which a 5-year determinate sentence was imposed</w:t>
      </w:r>
      <w:r w:rsidR="00937C9C" w:rsidRPr="005052F4">
        <w:t>.</w:t>
      </w:r>
    </w:p>
    <w:p w14:paraId="121A029D" w14:textId="02499193" w:rsidR="00937C9C" w:rsidRPr="005052F4" w:rsidRDefault="00937C9C">
      <w:r w:rsidRPr="005052F4">
        <w:t xml:space="preserve">The Fourth Department affirmed the conviction, finding that the </w:t>
      </w:r>
      <w:r w:rsidR="00947E5E" w:rsidRPr="005052F4">
        <w:t>officer’s actions were justified from the start and at every stage of the encou</w:t>
      </w:r>
      <w:r w:rsidR="00B62A44" w:rsidRPr="005052F4">
        <w:t xml:space="preserve">nter </w:t>
      </w:r>
      <w:r w:rsidR="00A77E33" w:rsidRPr="005052F4">
        <w:t>leading up to the arrest (206 AD3d 1702 [4</w:t>
      </w:r>
      <w:r w:rsidR="00A77E33" w:rsidRPr="005052F4">
        <w:rPr>
          <w:vertAlign w:val="superscript"/>
        </w:rPr>
        <w:t>th</w:t>
      </w:r>
      <w:r w:rsidR="00A77E33" w:rsidRPr="005052F4">
        <w:t xml:space="preserve"> Dept 2022]).</w:t>
      </w:r>
    </w:p>
    <w:p w14:paraId="21766AB1" w14:textId="41BCA590" w:rsidR="00C91568" w:rsidRPr="005052F4" w:rsidRDefault="003106C9">
      <w:r w:rsidRPr="005052F4">
        <w:t>The Court of Appeals reversed</w:t>
      </w:r>
      <w:r w:rsidR="0037747F" w:rsidRPr="005052F4">
        <w:t xml:space="preserve">, </w:t>
      </w:r>
      <w:r w:rsidR="008E1699" w:rsidRPr="005052F4">
        <w:t>concluding</w:t>
      </w:r>
      <w:r w:rsidR="0037747F" w:rsidRPr="005052F4">
        <w:t xml:space="preserve"> </w:t>
      </w:r>
      <w:r w:rsidRPr="005052F4">
        <w:t xml:space="preserve">that </w:t>
      </w:r>
      <w:r w:rsidR="007434C3" w:rsidRPr="005052F4">
        <w:t xml:space="preserve">the frisk was not based on any reasonable suspicion </w:t>
      </w:r>
      <w:r w:rsidR="00943989" w:rsidRPr="005052F4">
        <w:t xml:space="preserve">that </w:t>
      </w:r>
      <w:r w:rsidR="00DE4634" w:rsidRPr="005052F4">
        <w:t>the defendant had committed, was committing or was about to commit a crime</w:t>
      </w:r>
      <w:r w:rsidR="00D43FBE" w:rsidRPr="005052F4">
        <w:t xml:space="preserve"> </w:t>
      </w:r>
      <w:r w:rsidR="00DE4634" w:rsidRPr="005052F4">
        <w:t>(</w:t>
      </w:r>
      <w:r w:rsidR="00D43FBE" w:rsidRPr="005052F4">
        <w:t>c</w:t>
      </w:r>
      <w:r w:rsidR="00DE4634" w:rsidRPr="005052F4">
        <w:t xml:space="preserve">iting </w:t>
      </w:r>
      <w:r w:rsidR="00DE4634" w:rsidRPr="005052F4">
        <w:rPr>
          <w:i/>
          <w:iCs/>
        </w:rPr>
        <w:t>People v Benjamin</w:t>
      </w:r>
      <w:r w:rsidR="00DE4634" w:rsidRPr="005052F4">
        <w:t xml:space="preserve">, </w:t>
      </w:r>
      <w:r w:rsidR="00013BB7" w:rsidRPr="005052F4">
        <w:t>57 NY2d 267 [1980])</w:t>
      </w:r>
      <w:r w:rsidR="00D748EE" w:rsidRPr="005052F4">
        <w:t xml:space="preserve">, </w:t>
      </w:r>
      <w:r w:rsidR="00452313" w:rsidRPr="005052F4">
        <w:t xml:space="preserve">and </w:t>
      </w:r>
      <w:r w:rsidR="00452313" w:rsidRPr="005052F4">
        <w:rPr>
          <w:i/>
          <w:iCs/>
        </w:rPr>
        <w:t xml:space="preserve">People v </w:t>
      </w:r>
      <w:proofErr w:type="spellStart"/>
      <w:r w:rsidR="00452313" w:rsidRPr="005052F4">
        <w:rPr>
          <w:i/>
          <w:iCs/>
        </w:rPr>
        <w:t>D</w:t>
      </w:r>
      <w:r w:rsidR="003827D4" w:rsidRPr="005052F4">
        <w:rPr>
          <w:i/>
          <w:iCs/>
        </w:rPr>
        <w:t>eBour</w:t>
      </w:r>
      <w:proofErr w:type="spellEnd"/>
      <w:r w:rsidR="003827D4" w:rsidRPr="005052F4">
        <w:t xml:space="preserve"> </w:t>
      </w:r>
      <w:r w:rsidR="00452313" w:rsidRPr="005052F4">
        <w:t>supra</w:t>
      </w:r>
      <w:r w:rsidR="003827D4" w:rsidRPr="005052F4">
        <w:t xml:space="preserve">). </w:t>
      </w:r>
      <w:r w:rsidR="00276042" w:rsidRPr="005052F4">
        <w:t xml:space="preserve">Considering </w:t>
      </w:r>
      <w:r w:rsidR="003827D4" w:rsidRPr="005052F4">
        <w:t>its conclusion that</w:t>
      </w:r>
      <w:r w:rsidR="006B0553" w:rsidRPr="005052F4">
        <w:t xml:space="preserve"> </w:t>
      </w:r>
      <w:r w:rsidR="00D43FBE" w:rsidRPr="005052F4">
        <w:t xml:space="preserve">the </w:t>
      </w:r>
      <w:r w:rsidR="006B0553" w:rsidRPr="005052F4">
        <w:t xml:space="preserve">defendant’s conduct did not warrant a level three intrusion, the Court saw no need to </w:t>
      </w:r>
      <w:r w:rsidR="00276042" w:rsidRPr="005052F4">
        <w:t xml:space="preserve">determine </w:t>
      </w:r>
      <w:r w:rsidR="00AC653F" w:rsidRPr="005052F4">
        <w:t xml:space="preserve">whether </w:t>
      </w:r>
      <w:r w:rsidR="00BD6539" w:rsidRPr="005052F4">
        <w:t xml:space="preserve">the initial approach, </w:t>
      </w:r>
      <w:r w:rsidR="00B332A7" w:rsidRPr="005052F4">
        <w:t xml:space="preserve">pursuit, and </w:t>
      </w:r>
      <w:r w:rsidR="00AC653F" w:rsidRPr="005052F4">
        <w:t xml:space="preserve">inquiry of the defendant </w:t>
      </w:r>
      <w:r w:rsidR="001849E1" w:rsidRPr="005052F4">
        <w:t xml:space="preserve">satisfied levels one and two of </w:t>
      </w:r>
      <w:proofErr w:type="spellStart"/>
      <w:r w:rsidR="001849E1" w:rsidRPr="005052F4">
        <w:rPr>
          <w:i/>
          <w:iCs/>
        </w:rPr>
        <w:t>DeBour</w:t>
      </w:r>
      <w:proofErr w:type="spellEnd"/>
      <w:r w:rsidR="001849E1" w:rsidRPr="005052F4">
        <w:rPr>
          <w:i/>
          <w:iCs/>
        </w:rPr>
        <w:t>.</w:t>
      </w:r>
    </w:p>
    <w:p w14:paraId="69791A38" w14:textId="77777777" w:rsidR="00BA1DAC" w:rsidRPr="005052F4" w:rsidRDefault="00BA1DAC"/>
    <w:p w14:paraId="27F6C319" w14:textId="161D738D" w:rsidR="00B332A7" w:rsidRPr="005052F4" w:rsidRDefault="00B332A7">
      <w:r w:rsidRPr="005052F4">
        <w:t>CONCURRING OPINION</w:t>
      </w:r>
      <w:r w:rsidR="009C5AF8" w:rsidRPr="005052F4">
        <w:t xml:space="preserve">: NO REASONABLE SUSPICION, THEN NO </w:t>
      </w:r>
      <w:r w:rsidR="00676237" w:rsidRPr="005052F4">
        <w:t>POLICE-INITIATED ENCOUNTERS</w:t>
      </w:r>
    </w:p>
    <w:p w14:paraId="462E901E" w14:textId="76600E20" w:rsidR="00AC653F" w:rsidRPr="005052F4" w:rsidRDefault="00676237">
      <w:r w:rsidRPr="005052F4">
        <w:t>While agreeing w</w:t>
      </w:r>
      <w:r w:rsidR="00BB7EAB" w:rsidRPr="005052F4">
        <w:t xml:space="preserve">ith suppression, the concurring judge </w:t>
      </w:r>
      <w:r w:rsidR="00E068DA" w:rsidRPr="005052F4">
        <w:t>deemed it critical to</w:t>
      </w:r>
      <w:r w:rsidR="008964AF" w:rsidRPr="005052F4">
        <w:t xml:space="preserve"> the development </w:t>
      </w:r>
      <w:r w:rsidR="00BC3AE2" w:rsidRPr="005052F4">
        <w:t xml:space="preserve">of search </w:t>
      </w:r>
      <w:r w:rsidR="00044635" w:rsidRPr="005052F4">
        <w:t>and seizure jurisprudence to evaluate the police conduct at ever</w:t>
      </w:r>
      <w:r w:rsidR="00D77A97" w:rsidRPr="005052F4">
        <w:t xml:space="preserve">y </w:t>
      </w:r>
      <w:r w:rsidR="003D4905" w:rsidRPr="005052F4">
        <w:t xml:space="preserve">stage of </w:t>
      </w:r>
      <w:r w:rsidR="00D77A97" w:rsidRPr="005052F4">
        <w:t xml:space="preserve">the encounter rather than </w:t>
      </w:r>
      <w:r w:rsidR="00E324B3" w:rsidRPr="005052F4">
        <w:t xml:space="preserve">leapfrog </w:t>
      </w:r>
      <w:r w:rsidR="003D4905" w:rsidRPr="005052F4">
        <w:t>over levels one and two.</w:t>
      </w:r>
    </w:p>
    <w:p w14:paraId="133E2316" w14:textId="1DBC0679" w:rsidR="008964AF" w:rsidRPr="005052F4" w:rsidRDefault="003C749D">
      <w:r w:rsidRPr="005052F4">
        <w:t xml:space="preserve">In this judge’s view, this encounter was no good from the start </w:t>
      </w:r>
      <w:r w:rsidR="004B1715" w:rsidRPr="005052F4">
        <w:t xml:space="preserve">since the defendant’s vehicle was legally parked and there was nothing </w:t>
      </w:r>
      <w:r w:rsidR="007522D3" w:rsidRPr="005052F4">
        <w:t xml:space="preserve">about his </w:t>
      </w:r>
      <w:r w:rsidR="004B1715" w:rsidRPr="005052F4">
        <w:t xml:space="preserve">behavior </w:t>
      </w:r>
      <w:r w:rsidR="0087411B" w:rsidRPr="005052F4">
        <w:t xml:space="preserve">inside (changing seats and leaning back) </w:t>
      </w:r>
      <w:r w:rsidR="00B552CC" w:rsidRPr="005052F4">
        <w:t>that provided an objective credible reason to approach and inquire of his activities</w:t>
      </w:r>
      <w:r w:rsidR="007522D3" w:rsidRPr="005052F4">
        <w:t xml:space="preserve"> (</w:t>
      </w:r>
      <w:r w:rsidR="00D43FBE" w:rsidRPr="005052F4">
        <w:t>c</w:t>
      </w:r>
      <w:r w:rsidR="007522D3" w:rsidRPr="005052F4">
        <w:t xml:space="preserve">iting, inter alia, </w:t>
      </w:r>
      <w:r w:rsidR="003F5BCC" w:rsidRPr="005052F4">
        <w:rPr>
          <w:i/>
          <w:iCs/>
        </w:rPr>
        <w:t xml:space="preserve">People v </w:t>
      </w:r>
      <w:proofErr w:type="spellStart"/>
      <w:r w:rsidR="003F5BCC" w:rsidRPr="005052F4">
        <w:rPr>
          <w:i/>
          <w:iCs/>
        </w:rPr>
        <w:t>DeBour</w:t>
      </w:r>
      <w:proofErr w:type="spellEnd"/>
      <w:r w:rsidR="003F5BCC" w:rsidRPr="005052F4">
        <w:t>, supra at 216</w:t>
      </w:r>
      <w:r w:rsidR="00441548" w:rsidRPr="005052F4">
        <w:t xml:space="preserve">, </w:t>
      </w:r>
      <w:r w:rsidR="00441548" w:rsidRPr="005052F4">
        <w:rPr>
          <w:i/>
          <w:iCs/>
        </w:rPr>
        <w:t>People v Hollman</w:t>
      </w:r>
      <w:r w:rsidR="00441548" w:rsidRPr="005052F4">
        <w:t xml:space="preserve">, </w:t>
      </w:r>
      <w:r w:rsidR="00507A53" w:rsidRPr="005052F4">
        <w:t xml:space="preserve">79 NY2d at </w:t>
      </w:r>
      <w:r w:rsidR="00DB7092" w:rsidRPr="005052F4">
        <w:t>190-</w:t>
      </w:r>
      <w:r w:rsidR="003260B4" w:rsidRPr="005052F4">
        <w:t xml:space="preserve">191, </w:t>
      </w:r>
      <w:r w:rsidR="009E5C05" w:rsidRPr="005052F4">
        <w:t xml:space="preserve">and </w:t>
      </w:r>
      <w:r w:rsidR="009E5C05" w:rsidRPr="005052F4">
        <w:rPr>
          <w:i/>
          <w:iCs/>
        </w:rPr>
        <w:t xml:space="preserve">People </w:t>
      </w:r>
      <w:r w:rsidR="003F5BCC" w:rsidRPr="005052F4">
        <w:rPr>
          <w:i/>
          <w:iCs/>
        </w:rPr>
        <w:t>v Harrison</w:t>
      </w:r>
      <w:r w:rsidR="003F5BCC" w:rsidRPr="005052F4">
        <w:t xml:space="preserve">, </w:t>
      </w:r>
      <w:r w:rsidR="00CA15AA" w:rsidRPr="005052F4">
        <w:t>57 NY2d 4</w:t>
      </w:r>
      <w:r w:rsidR="00ED604B" w:rsidRPr="005052F4">
        <w:t>70, [</w:t>
      </w:r>
      <w:r w:rsidR="00BC3AE2" w:rsidRPr="005052F4">
        <w:t>1982]).</w:t>
      </w:r>
      <w:r w:rsidR="003260B4" w:rsidRPr="005052F4">
        <w:t xml:space="preserve"> </w:t>
      </w:r>
      <w:r w:rsidR="009E5C05" w:rsidRPr="005052F4">
        <w:t xml:space="preserve">That the defendant </w:t>
      </w:r>
      <w:r w:rsidR="00505F99" w:rsidRPr="005052F4">
        <w:t xml:space="preserve">might </w:t>
      </w:r>
      <w:r w:rsidR="004C7FDE" w:rsidRPr="005052F4">
        <w:t xml:space="preserve">be ditching </w:t>
      </w:r>
      <w:r w:rsidR="009E5C05" w:rsidRPr="005052F4">
        <w:t>or reaching for a gun</w:t>
      </w:r>
      <w:r w:rsidR="00505F99" w:rsidRPr="005052F4">
        <w:t xml:space="preserve">, according to this </w:t>
      </w:r>
      <w:r w:rsidR="005B48CB" w:rsidRPr="005052F4">
        <w:t xml:space="preserve">judge, was </w:t>
      </w:r>
      <w:r w:rsidR="00EA17F7" w:rsidRPr="005052F4">
        <w:t>pure speculation.</w:t>
      </w:r>
    </w:p>
    <w:p w14:paraId="61B42C18" w14:textId="2AA029D5" w:rsidR="004C7FDE" w:rsidRPr="005052F4" w:rsidRDefault="00533D46">
      <w:r w:rsidRPr="005052F4">
        <w:t xml:space="preserve">Nor did the defendant’s exiting of his vehicle </w:t>
      </w:r>
      <w:r w:rsidR="002D0168" w:rsidRPr="005052F4">
        <w:t>from the passenger si</w:t>
      </w:r>
      <w:r w:rsidR="007F625E" w:rsidRPr="005052F4">
        <w:t xml:space="preserve">de </w:t>
      </w:r>
      <w:r w:rsidR="005E767D" w:rsidRPr="005052F4">
        <w:t xml:space="preserve">amount to anything so </w:t>
      </w:r>
      <w:r w:rsidR="00D93F69" w:rsidRPr="005052F4">
        <w:t xml:space="preserve">suspicious </w:t>
      </w:r>
      <w:r w:rsidR="005E767D" w:rsidRPr="005052F4">
        <w:t xml:space="preserve">as to warrant pursuit and inquiry </w:t>
      </w:r>
      <w:r w:rsidR="00D93F69" w:rsidRPr="005052F4">
        <w:t xml:space="preserve">under level 2 of </w:t>
      </w:r>
      <w:proofErr w:type="spellStart"/>
      <w:r w:rsidR="00D93F69" w:rsidRPr="005052F4">
        <w:rPr>
          <w:i/>
          <w:iCs/>
        </w:rPr>
        <w:t>DeBour</w:t>
      </w:r>
      <w:proofErr w:type="spellEnd"/>
      <w:r w:rsidR="00D93F69" w:rsidRPr="005052F4">
        <w:t xml:space="preserve">. </w:t>
      </w:r>
      <w:r w:rsidR="00E45421" w:rsidRPr="005052F4">
        <w:t>The fact that the defendant was in a high-cri</w:t>
      </w:r>
      <w:r w:rsidR="00FB536B" w:rsidRPr="005052F4">
        <w:t xml:space="preserve">me </w:t>
      </w:r>
      <w:r w:rsidR="00E45421" w:rsidRPr="005052F4">
        <w:t>neighborhood</w:t>
      </w:r>
      <w:r w:rsidR="00FB536B" w:rsidRPr="005052F4">
        <w:t xml:space="preserve"> was equal</w:t>
      </w:r>
      <w:r w:rsidR="005D7C3E" w:rsidRPr="005052F4">
        <w:t>ly</w:t>
      </w:r>
      <w:r w:rsidR="00FB536B" w:rsidRPr="005052F4">
        <w:t xml:space="preserve"> unpersuasive (</w:t>
      </w:r>
      <w:r w:rsidR="00D43FBE" w:rsidRPr="005052F4">
        <w:t>c</w:t>
      </w:r>
      <w:r w:rsidR="00FB536B" w:rsidRPr="005052F4">
        <w:t xml:space="preserve">iting </w:t>
      </w:r>
      <w:r w:rsidR="00FB536B" w:rsidRPr="005052F4">
        <w:rPr>
          <w:i/>
          <w:iCs/>
        </w:rPr>
        <w:t>People v McIntosh</w:t>
      </w:r>
      <w:r w:rsidR="00FB536B" w:rsidRPr="005052F4">
        <w:t>, 96 NY2d 52</w:t>
      </w:r>
      <w:r w:rsidR="00434695" w:rsidRPr="005052F4">
        <w:t>1 [</w:t>
      </w:r>
      <w:r w:rsidR="00896DCC" w:rsidRPr="005052F4">
        <w:t>2001]).</w:t>
      </w:r>
    </w:p>
    <w:p w14:paraId="3ECBCBC4" w14:textId="4A40E566" w:rsidR="00163B54" w:rsidRPr="005052F4" w:rsidRDefault="00163B54">
      <w:r w:rsidRPr="005052F4">
        <w:lastRenderedPageBreak/>
        <w:t xml:space="preserve">The concurring judge also did not believe that the defendant’s </w:t>
      </w:r>
      <w:r w:rsidR="00416FF3" w:rsidRPr="005052F4">
        <w:t xml:space="preserve">pulling up and refastening his pants </w:t>
      </w:r>
      <w:r w:rsidR="00320664" w:rsidRPr="005052F4">
        <w:t xml:space="preserve">supported the conclusion that he might have a gun since </w:t>
      </w:r>
      <w:r w:rsidR="00357F06" w:rsidRPr="005052F4">
        <w:t xml:space="preserve">one is unlikely to secrete a weapon </w:t>
      </w:r>
      <w:r w:rsidR="008B6DB3" w:rsidRPr="005052F4">
        <w:t xml:space="preserve">in </w:t>
      </w:r>
      <w:r w:rsidR="00357F06" w:rsidRPr="005052F4">
        <w:t xml:space="preserve">a pair of pants that are </w:t>
      </w:r>
      <w:r w:rsidR="00392CCA" w:rsidRPr="005052F4">
        <w:t>open and unbuckled.</w:t>
      </w:r>
    </w:p>
    <w:p w14:paraId="356967FB" w14:textId="4F6B3815" w:rsidR="00392CCA" w:rsidRPr="005052F4" w:rsidRDefault="00392CCA">
      <w:r w:rsidRPr="005052F4">
        <w:t xml:space="preserve">That the defendant may have appeared nervous </w:t>
      </w:r>
      <w:r w:rsidR="00141B1D" w:rsidRPr="005052F4">
        <w:t>provided</w:t>
      </w:r>
      <w:r w:rsidRPr="005052F4">
        <w:t xml:space="preserve"> no</w:t>
      </w:r>
      <w:r w:rsidR="00371A15" w:rsidRPr="005052F4">
        <w:t xml:space="preserve"> justifiable</w:t>
      </w:r>
      <w:r w:rsidRPr="005052F4">
        <w:t xml:space="preserve"> </w:t>
      </w:r>
      <w:r w:rsidR="00323688" w:rsidRPr="005052F4">
        <w:t>basis for suspicion of criminal</w:t>
      </w:r>
      <w:r w:rsidR="00C40B22" w:rsidRPr="005052F4">
        <w:t>ity since most people (criminal</w:t>
      </w:r>
      <w:r w:rsidR="00D60470" w:rsidRPr="005052F4">
        <w:t>s</w:t>
      </w:r>
      <w:r w:rsidR="00C40B22" w:rsidRPr="005052F4">
        <w:t xml:space="preserve"> or otherwise) </w:t>
      </w:r>
      <w:r w:rsidR="007C7A83" w:rsidRPr="005052F4">
        <w:t xml:space="preserve">are generally spooked by uniformed officers bearing down on them </w:t>
      </w:r>
      <w:r w:rsidR="00C84D8F" w:rsidRPr="005052F4">
        <w:t>(</w:t>
      </w:r>
      <w:r w:rsidR="00D43FBE" w:rsidRPr="005052F4">
        <w:t>c</w:t>
      </w:r>
      <w:r w:rsidR="00C84D8F" w:rsidRPr="005052F4">
        <w:t xml:space="preserve">iting </w:t>
      </w:r>
      <w:r w:rsidR="00C84D8F" w:rsidRPr="005052F4">
        <w:rPr>
          <w:i/>
          <w:iCs/>
        </w:rPr>
        <w:t xml:space="preserve">People v </w:t>
      </w:r>
      <w:r w:rsidR="005B190B" w:rsidRPr="005052F4">
        <w:rPr>
          <w:i/>
          <w:iCs/>
        </w:rPr>
        <w:t>Garcia</w:t>
      </w:r>
      <w:r w:rsidR="00D43FBE" w:rsidRPr="005052F4">
        <w:t>,</w:t>
      </w:r>
      <w:r w:rsidR="005B190B" w:rsidRPr="005052F4">
        <w:t xml:space="preserve"> </w:t>
      </w:r>
      <w:r w:rsidR="00C84D8F" w:rsidRPr="005052F4">
        <w:t>20 NY3d 217,323 [2017]</w:t>
      </w:r>
      <w:r w:rsidR="005B190B" w:rsidRPr="005052F4">
        <w:t xml:space="preserve">, and </w:t>
      </w:r>
      <w:r w:rsidR="005B190B" w:rsidRPr="005052F4">
        <w:rPr>
          <w:i/>
          <w:iCs/>
        </w:rPr>
        <w:t>People v Hollman</w:t>
      </w:r>
      <w:r w:rsidR="00EB7AF5" w:rsidRPr="005052F4">
        <w:t>, 79 NY2d at 192).</w:t>
      </w:r>
    </w:p>
    <w:p w14:paraId="30DA1230" w14:textId="701361A3" w:rsidR="00EB7AF5" w:rsidRPr="005052F4" w:rsidRDefault="00EB7AF5">
      <w:r w:rsidRPr="005052F4">
        <w:t xml:space="preserve">When the defendant said that he had nothing on him, </w:t>
      </w:r>
      <w:r w:rsidR="00C0154D" w:rsidRPr="005052F4">
        <w:t xml:space="preserve">there </w:t>
      </w:r>
      <w:r w:rsidR="00B246D7" w:rsidRPr="005052F4">
        <w:t>were no grounds,</w:t>
      </w:r>
      <w:r w:rsidR="00C0154D" w:rsidRPr="005052F4">
        <w:t xml:space="preserve"> in this judge’s view, to detain him further or ask him why he appeared </w:t>
      </w:r>
      <w:r w:rsidR="00D60470" w:rsidRPr="005052F4">
        <w:t xml:space="preserve">to be </w:t>
      </w:r>
      <w:r w:rsidR="00C0154D" w:rsidRPr="005052F4">
        <w:t>nervous (</w:t>
      </w:r>
      <w:r w:rsidR="0080405C" w:rsidRPr="005052F4">
        <w:t>c</w:t>
      </w:r>
      <w:r w:rsidR="00C0154D" w:rsidRPr="005052F4">
        <w:t xml:space="preserve">iting </w:t>
      </w:r>
      <w:r w:rsidR="00C0154D" w:rsidRPr="005052F4">
        <w:rPr>
          <w:i/>
          <w:iCs/>
        </w:rPr>
        <w:t>People v Moore</w:t>
      </w:r>
      <w:r w:rsidR="00C0154D" w:rsidRPr="005052F4">
        <w:t xml:space="preserve">, </w:t>
      </w:r>
      <w:r w:rsidR="006B31F7" w:rsidRPr="005052F4">
        <w:t xml:space="preserve">6 NY3d </w:t>
      </w:r>
      <w:r w:rsidR="00647621" w:rsidRPr="005052F4">
        <w:t xml:space="preserve">496 [2006]). And, as found by the majority, </w:t>
      </w:r>
      <w:r w:rsidR="002E29F3" w:rsidRPr="005052F4">
        <w:t xml:space="preserve">there was no reasonable suspicion to frisk the defendant when he did not manifest the presence of </w:t>
      </w:r>
      <w:r w:rsidR="008D34ED" w:rsidRPr="005052F4">
        <w:t>a weapon</w:t>
      </w:r>
      <w:r w:rsidR="002E29F3" w:rsidRPr="005052F4">
        <w:t xml:space="preserve"> </w:t>
      </w:r>
      <w:r w:rsidR="00B92B39" w:rsidRPr="005052F4">
        <w:t xml:space="preserve">or behave </w:t>
      </w:r>
      <w:r w:rsidR="002E29F3" w:rsidRPr="005052F4">
        <w:t xml:space="preserve">in a manner that suggested </w:t>
      </w:r>
      <w:r w:rsidR="00F7630E" w:rsidRPr="005052F4">
        <w:t xml:space="preserve">he had one on him. </w:t>
      </w:r>
    </w:p>
    <w:p w14:paraId="1E2E3466" w14:textId="588BFC2F" w:rsidR="008D34ED" w:rsidRPr="005052F4" w:rsidRDefault="008D34ED">
      <w:r w:rsidRPr="005052F4">
        <w:t xml:space="preserve">While </w:t>
      </w:r>
      <w:proofErr w:type="spellStart"/>
      <w:r w:rsidRPr="005052F4">
        <w:rPr>
          <w:i/>
          <w:iCs/>
        </w:rPr>
        <w:t>DeBour</w:t>
      </w:r>
      <w:proofErr w:type="spellEnd"/>
      <w:r w:rsidR="00B92B39" w:rsidRPr="005052F4">
        <w:t xml:space="preserve"> may </w:t>
      </w:r>
      <w:r w:rsidR="00957BA1" w:rsidRPr="005052F4">
        <w:t xml:space="preserve">be broader in scope than </w:t>
      </w:r>
      <w:r w:rsidR="00B93763" w:rsidRPr="005052F4">
        <w:t xml:space="preserve">the federal </w:t>
      </w:r>
      <w:r w:rsidR="00156818" w:rsidRPr="005052F4">
        <w:t xml:space="preserve">model, </w:t>
      </w:r>
      <w:r w:rsidR="00EC3B30" w:rsidRPr="005052F4">
        <w:t>it</w:t>
      </w:r>
      <w:r w:rsidR="005E3BBD" w:rsidRPr="005052F4">
        <w:t>s</w:t>
      </w:r>
      <w:r w:rsidR="00EC3B30" w:rsidRPr="005052F4">
        <w:t xml:space="preserve"> “atomized” appr</w:t>
      </w:r>
      <w:r w:rsidR="00414881" w:rsidRPr="005052F4">
        <w:t xml:space="preserve">oach, in the concurring judge’s opinion, </w:t>
      </w:r>
      <w:r w:rsidR="003D3B4B" w:rsidRPr="005052F4">
        <w:t xml:space="preserve">no longer (if ever) provides </w:t>
      </w:r>
      <w:r w:rsidR="00825382" w:rsidRPr="005052F4">
        <w:t xml:space="preserve">sufficient (let alone </w:t>
      </w:r>
      <w:r w:rsidR="00A6373E" w:rsidRPr="005052F4">
        <w:t xml:space="preserve">consistent) </w:t>
      </w:r>
      <w:r w:rsidR="00D94A35" w:rsidRPr="005052F4">
        <w:t xml:space="preserve">protection for </w:t>
      </w:r>
      <w:r w:rsidR="00636A44" w:rsidRPr="005052F4">
        <w:t>individual freedom of movement and the right to be left alone.</w:t>
      </w:r>
      <w:r w:rsidR="00042DA9" w:rsidRPr="005052F4">
        <w:t xml:space="preserve"> </w:t>
      </w:r>
      <w:r w:rsidR="00B93763" w:rsidRPr="005052F4">
        <w:t>It also inv</w:t>
      </w:r>
      <w:r w:rsidR="00A6373E" w:rsidRPr="005052F4">
        <w:t>ites a blurring of the lines between levels of i</w:t>
      </w:r>
      <w:r w:rsidR="0002421D" w:rsidRPr="005052F4">
        <w:t>nt</w:t>
      </w:r>
      <w:r w:rsidR="00B915C2" w:rsidRPr="005052F4">
        <w:t>rusion</w:t>
      </w:r>
      <w:r w:rsidR="00CB611B" w:rsidRPr="005052F4">
        <w:t xml:space="preserve"> </w:t>
      </w:r>
      <w:r w:rsidR="0001149C" w:rsidRPr="005052F4">
        <w:t>(</w:t>
      </w:r>
      <w:r w:rsidR="0080405C" w:rsidRPr="005052F4">
        <w:t>c</w:t>
      </w:r>
      <w:r w:rsidR="0001149C" w:rsidRPr="005052F4">
        <w:t xml:space="preserve">iting </w:t>
      </w:r>
      <w:r w:rsidR="00CB611B" w:rsidRPr="005052F4">
        <w:rPr>
          <w:i/>
          <w:iCs/>
        </w:rPr>
        <w:t>People v Reyes</w:t>
      </w:r>
      <w:r w:rsidR="00CB611B" w:rsidRPr="005052F4">
        <w:t>, 83 NY2d 945 [1994])</w:t>
      </w:r>
      <w:r w:rsidR="0032412B" w:rsidRPr="005052F4">
        <w:t xml:space="preserve"> and </w:t>
      </w:r>
      <w:r w:rsidR="0032412B" w:rsidRPr="005052F4">
        <w:rPr>
          <w:i/>
          <w:iCs/>
        </w:rPr>
        <w:t>People v Samuels</w:t>
      </w:r>
      <w:r w:rsidR="0032412B" w:rsidRPr="005052F4">
        <w:t xml:space="preserve">, </w:t>
      </w:r>
      <w:r w:rsidR="00CA4A88" w:rsidRPr="005052F4">
        <w:t xml:space="preserve">50 NY2d 1035, 1040 </w:t>
      </w:r>
      <w:r w:rsidR="00657F90" w:rsidRPr="005052F4">
        <w:t>[</w:t>
      </w:r>
      <w:r w:rsidR="0080405C" w:rsidRPr="005052F4">
        <w:t xml:space="preserve">1980, </w:t>
      </w:r>
      <w:proofErr w:type="spellStart"/>
      <w:r w:rsidR="00F605F8" w:rsidRPr="005052F4">
        <w:t>Fuchsberg</w:t>
      </w:r>
      <w:proofErr w:type="spellEnd"/>
      <w:r w:rsidR="00F605F8" w:rsidRPr="005052F4">
        <w:t>, J.</w:t>
      </w:r>
      <w:r w:rsidR="00CA4A88" w:rsidRPr="005052F4">
        <w:t xml:space="preserve"> dissenting</w:t>
      </w:r>
      <w:r w:rsidR="006B72E9" w:rsidRPr="005052F4">
        <w:t>]) where the dissenter observed:</w:t>
      </w:r>
    </w:p>
    <w:p w14:paraId="5E93A851" w14:textId="1FAC315E" w:rsidR="006B72E9" w:rsidRPr="005052F4" w:rsidRDefault="006B72E9">
      <w:r w:rsidRPr="005052F4">
        <w:t>“</w:t>
      </w:r>
      <w:r w:rsidR="00D50FCA" w:rsidRPr="005052F4">
        <w:t xml:space="preserve">The </w:t>
      </w:r>
      <w:r w:rsidR="00FF6CA5" w:rsidRPr="005052F4">
        <w:t xml:space="preserve">mushrooming lexicographical distinctions </w:t>
      </w:r>
      <w:r w:rsidR="00664DBA" w:rsidRPr="005052F4">
        <w:t>into which the reasonableness of street stops and seizure</w:t>
      </w:r>
      <w:r w:rsidR="00A4730A" w:rsidRPr="005052F4">
        <w:t>s</w:t>
      </w:r>
      <w:r w:rsidR="000D49ED" w:rsidRPr="005052F4">
        <w:t xml:space="preserve"> are categorized present a disturbing problem. Since…no two stops are the same, </w:t>
      </w:r>
      <w:r w:rsidR="00B01021" w:rsidRPr="005052F4">
        <w:t xml:space="preserve">the semantics necessarily engaged to </w:t>
      </w:r>
      <w:proofErr w:type="gramStart"/>
      <w:r w:rsidR="00B01021" w:rsidRPr="005052F4">
        <w:t>effect</w:t>
      </w:r>
      <w:proofErr w:type="gramEnd"/>
      <w:r w:rsidR="00B01021" w:rsidRPr="005052F4">
        <w:t xml:space="preserve"> </w:t>
      </w:r>
      <w:r w:rsidR="00A640BF" w:rsidRPr="005052F4">
        <w:t xml:space="preserve">such compartmentalization (however well intended) </w:t>
      </w:r>
      <w:r w:rsidR="00F13AA4" w:rsidRPr="005052F4">
        <w:t>in the end make it all the easier to substitute labels for liberties.”</w:t>
      </w:r>
    </w:p>
    <w:p w14:paraId="6BAF39C4" w14:textId="52B52811" w:rsidR="00892300" w:rsidRPr="005052F4" w:rsidRDefault="00892300">
      <w:r w:rsidRPr="005052F4">
        <w:t xml:space="preserve">In </w:t>
      </w:r>
      <w:r w:rsidRPr="005052F4">
        <w:rPr>
          <w:i/>
          <w:iCs/>
        </w:rPr>
        <w:t>Samuels</w:t>
      </w:r>
      <w:r w:rsidRPr="005052F4">
        <w:t xml:space="preserve">, </w:t>
      </w:r>
      <w:proofErr w:type="gramStart"/>
      <w:r w:rsidRPr="005052F4">
        <w:t xml:space="preserve">the majority </w:t>
      </w:r>
      <w:r w:rsidR="00EA5C8B" w:rsidRPr="005052F4">
        <w:t>of</w:t>
      </w:r>
      <w:proofErr w:type="gramEnd"/>
      <w:r w:rsidR="00EA5C8B" w:rsidRPr="005052F4">
        <w:t xml:space="preserve"> the Court upheld a </w:t>
      </w:r>
      <w:proofErr w:type="gramStart"/>
      <w:r w:rsidR="00EA5C8B" w:rsidRPr="005052F4">
        <w:t>pat</w:t>
      </w:r>
      <w:proofErr w:type="gramEnd"/>
      <w:r w:rsidR="00EA5C8B" w:rsidRPr="005052F4">
        <w:t xml:space="preserve">-down search leading to the discovery of a handgun in the defendant’s pocket after </w:t>
      </w:r>
      <w:r w:rsidR="00EE0A4B" w:rsidRPr="005052F4">
        <w:t>police observed him buying a holster from a novelty store</w:t>
      </w:r>
      <w:r w:rsidR="009C1E74" w:rsidRPr="005052F4">
        <w:t xml:space="preserve">. </w:t>
      </w:r>
      <w:r w:rsidR="00B1171F" w:rsidRPr="005052F4">
        <w:t xml:space="preserve">When they approached him, he put his hand in his pocket and refused to remove it </w:t>
      </w:r>
      <w:r w:rsidR="00881F2D" w:rsidRPr="005052F4">
        <w:t xml:space="preserve">after </w:t>
      </w:r>
      <w:r w:rsidR="004166B4" w:rsidRPr="005052F4">
        <w:t xml:space="preserve">officers </w:t>
      </w:r>
      <w:r w:rsidR="00881F2D" w:rsidRPr="005052F4">
        <w:t>asked why</w:t>
      </w:r>
      <w:r w:rsidR="00330C3B" w:rsidRPr="005052F4">
        <w:t xml:space="preserve"> he</w:t>
      </w:r>
      <w:r w:rsidR="00881F2D" w:rsidRPr="005052F4">
        <w:t xml:space="preserve"> bought the holster and commanded him to </w:t>
      </w:r>
      <w:r w:rsidR="007C4470" w:rsidRPr="005052F4">
        <w:t xml:space="preserve">show his hand. In the Court’s view, the officer’s safety was </w:t>
      </w:r>
      <w:r w:rsidR="000176B3" w:rsidRPr="005052F4">
        <w:t>implicated by the defendant’s behavior.</w:t>
      </w:r>
    </w:p>
    <w:p w14:paraId="0B202325" w14:textId="3B26F629" w:rsidR="00EC3199" w:rsidRPr="005052F4" w:rsidRDefault="00EC3199">
      <w:r w:rsidRPr="005052F4">
        <w:t xml:space="preserve">In the dissenter’s view, there would have been no safety issue had the police not </w:t>
      </w:r>
      <w:r w:rsidR="00413791" w:rsidRPr="005052F4">
        <w:t>confronted him without just cause in the first place.</w:t>
      </w:r>
    </w:p>
    <w:p w14:paraId="162F8BC4" w14:textId="48BACCBB" w:rsidR="00481434" w:rsidRPr="005052F4" w:rsidRDefault="00481434">
      <w:r w:rsidRPr="005052F4">
        <w:t xml:space="preserve">In </w:t>
      </w:r>
      <w:r w:rsidRPr="005052F4">
        <w:rPr>
          <w:i/>
          <w:iCs/>
        </w:rPr>
        <w:t>Johnson</w:t>
      </w:r>
      <w:r w:rsidRPr="005052F4">
        <w:t xml:space="preserve">, supra, </w:t>
      </w:r>
      <w:r w:rsidR="00C44A79" w:rsidRPr="005052F4">
        <w:t xml:space="preserve">the concurring judge, noting the realities of police-citizen encounters </w:t>
      </w:r>
      <w:r w:rsidR="00484BC2" w:rsidRPr="005052F4">
        <w:t xml:space="preserve">(most of which involve minorities) </w:t>
      </w:r>
      <w:r w:rsidR="00CA1BE2" w:rsidRPr="005052F4">
        <w:t xml:space="preserve">concluded that the right to walk away from armed police officer </w:t>
      </w:r>
      <w:r w:rsidR="00C66FC1" w:rsidRPr="005052F4">
        <w:t>is illusory</w:t>
      </w:r>
      <w:r w:rsidR="00461102" w:rsidRPr="005052F4">
        <w:t>,</w:t>
      </w:r>
      <w:r w:rsidR="00C66FC1" w:rsidRPr="005052F4">
        <w:t xml:space="preserve"> </w:t>
      </w:r>
      <w:r w:rsidR="00187501" w:rsidRPr="005052F4">
        <w:t xml:space="preserve">and </w:t>
      </w:r>
      <w:r w:rsidR="0053288C" w:rsidRPr="005052F4">
        <w:t>the decision whether or not to engage with</w:t>
      </w:r>
      <w:r w:rsidR="005A5598" w:rsidRPr="005052F4">
        <w:t xml:space="preserve"> an</w:t>
      </w:r>
      <w:r w:rsidR="0053288C" w:rsidRPr="005052F4">
        <w:t xml:space="preserve"> officer is no choice at all</w:t>
      </w:r>
      <w:r w:rsidR="00D518DE" w:rsidRPr="005052F4">
        <w:t xml:space="preserve"> since as </w:t>
      </w:r>
      <w:proofErr w:type="spellStart"/>
      <w:r w:rsidR="00D518DE" w:rsidRPr="005052F4">
        <w:rPr>
          <w:i/>
          <w:iCs/>
        </w:rPr>
        <w:t>DeBour</w:t>
      </w:r>
      <w:proofErr w:type="spellEnd"/>
      <w:r w:rsidR="00D518DE" w:rsidRPr="005052F4">
        <w:t xml:space="preserve"> noted, “ it is difficult to understand </w:t>
      </w:r>
      <w:r w:rsidR="00937352" w:rsidRPr="005052F4">
        <w:t xml:space="preserve">how any person is not intimidated </w:t>
      </w:r>
      <w:r w:rsidR="0034129E" w:rsidRPr="005052F4">
        <w:t xml:space="preserve">or otherwise believes that (he/she) </w:t>
      </w:r>
      <w:r w:rsidR="00074FE2" w:rsidRPr="005052F4">
        <w:t xml:space="preserve">can leave </w:t>
      </w:r>
      <w:r w:rsidR="00CC696C" w:rsidRPr="005052F4">
        <w:t>when approached by a uniformed officer</w:t>
      </w:r>
      <w:r w:rsidR="00D801A0" w:rsidRPr="005052F4">
        <w:t xml:space="preserve">…who tells (him/her) to stop.” </w:t>
      </w:r>
      <w:r w:rsidR="005A5598" w:rsidRPr="005052F4">
        <w:t>(40 NY2d at 219</w:t>
      </w:r>
      <w:r w:rsidR="001F7BC3" w:rsidRPr="005052F4">
        <w:t>).</w:t>
      </w:r>
    </w:p>
    <w:p w14:paraId="3004D3BE" w14:textId="0AB0B911" w:rsidR="001F7BC3" w:rsidRPr="005052F4" w:rsidRDefault="00AA1B4D">
      <w:r w:rsidRPr="005052F4">
        <w:t xml:space="preserve">To the concurring judge, </w:t>
      </w:r>
      <w:proofErr w:type="spellStart"/>
      <w:r w:rsidRPr="005052F4">
        <w:rPr>
          <w:i/>
          <w:iCs/>
        </w:rPr>
        <w:t>DeBour</w:t>
      </w:r>
      <w:r w:rsidR="00D5222C" w:rsidRPr="005052F4">
        <w:rPr>
          <w:i/>
          <w:iCs/>
        </w:rPr>
        <w:t>’s</w:t>
      </w:r>
      <w:proofErr w:type="spellEnd"/>
      <w:r w:rsidR="00D5222C" w:rsidRPr="005052F4">
        <w:t xml:space="preserve"> framework </w:t>
      </w:r>
      <w:r w:rsidR="00D14459" w:rsidRPr="005052F4">
        <w:t xml:space="preserve">“has </w:t>
      </w:r>
      <w:r w:rsidR="00D5222C" w:rsidRPr="005052F4">
        <w:t xml:space="preserve">proven…to be an unworkable one that creates more </w:t>
      </w:r>
      <w:r w:rsidR="00D5213E" w:rsidRPr="005052F4">
        <w:t>questions than it resolves” (</w:t>
      </w:r>
      <w:r w:rsidR="0080405C" w:rsidRPr="005052F4">
        <w:t>c</w:t>
      </w:r>
      <w:r w:rsidR="00D5213E" w:rsidRPr="005052F4">
        <w:t xml:space="preserve">iting </w:t>
      </w:r>
      <w:r w:rsidR="00D5213E" w:rsidRPr="005052F4">
        <w:rPr>
          <w:i/>
          <w:iCs/>
        </w:rPr>
        <w:t>People v Taylor</w:t>
      </w:r>
      <w:r w:rsidR="00D5213E" w:rsidRPr="005052F4">
        <w:t>, 9 NY3d 129 [2009])</w:t>
      </w:r>
      <w:r w:rsidR="0073623B" w:rsidRPr="005052F4">
        <w:t xml:space="preserve">. </w:t>
      </w:r>
      <w:r w:rsidR="003146C3" w:rsidRPr="005052F4">
        <w:t>It has also, according to this judge, “</w:t>
      </w:r>
      <w:r w:rsidR="00C34076" w:rsidRPr="005052F4">
        <w:t>calcifie</w:t>
      </w:r>
      <w:r w:rsidR="00602489" w:rsidRPr="005052F4">
        <w:t xml:space="preserve">d into an </w:t>
      </w:r>
      <w:r w:rsidR="00C34076" w:rsidRPr="005052F4">
        <w:t>archaic and obsolete doctrine (that) has lost touch with reality” (</w:t>
      </w:r>
      <w:r w:rsidR="0080405C" w:rsidRPr="005052F4">
        <w:t>c</w:t>
      </w:r>
      <w:r w:rsidR="00C34076" w:rsidRPr="005052F4">
        <w:t xml:space="preserve">iting </w:t>
      </w:r>
      <w:r w:rsidR="006822C2" w:rsidRPr="005052F4">
        <w:rPr>
          <w:i/>
          <w:iCs/>
        </w:rPr>
        <w:t>People v Hobson</w:t>
      </w:r>
      <w:r w:rsidR="006822C2" w:rsidRPr="005052F4">
        <w:t xml:space="preserve">, 39 NY2d 479 [1976]). </w:t>
      </w:r>
    </w:p>
    <w:p w14:paraId="41F73863" w14:textId="138F06C6" w:rsidR="00D40A22" w:rsidRPr="005052F4" w:rsidRDefault="00C72A31">
      <w:r w:rsidRPr="005052F4">
        <w:t>PROPOSED SOLUTION</w:t>
      </w:r>
    </w:p>
    <w:p w14:paraId="32CA2422" w14:textId="3AEA1C01" w:rsidR="00C72A31" w:rsidRPr="005052F4" w:rsidRDefault="00C72A31">
      <w:r w:rsidRPr="005052F4">
        <w:t xml:space="preserve">To ensure better public safety </w:t>
      </w:r>
      <w:r w:rsidR="006B6F28" w:rsidRPr="005052F4">
        <w:t xml:space="preserve">and protection of individual rights, </w:t>
      </w:r>
      <w:r w:rsidR="002F1182" w:rsidRPr="005052F4">
        <w:t xml:space="preserve">the concurring judge </w:t>
      </w:r>
      <w:r w:rsidR="00962A8D" w:rsidRPr="005052F4">
        <w:t>recommended</w:t>
      </w:r>
      <w:r w:rsidR="002F1182" w:rsidRPr="005052F4">
        <w:t xml:space="preserve"> th</w:t>
      </w:r>
      <w:r w:rsidR="0012741A" w:rsidRPr="005052F4">
        <w:t xml:space="preserve">at courts require </w:t>
      </w:r>
      <w:r w:rsidR="00EF0269" w:rsidRPr="005052F4">
        <w:t xml:space="preserve">all police encounters to be justified by REASONABLE SUSPICION </w:t>
      </w:r>
      <w:r w:rsidR="00457026" w:rsidRPr="005052F4">
        <w:t>based on actual signs of criminality</w:t>
      </w:r>
      <w:r w:rsidR="00962A8D" w:rsidRPr="005052F4">
        <w:t xml:space="preserve">. </w:t>
      </w:r>
      <w:r w:rsidR="0012741A" w:rsidRPr="005052F4">
        <w:t xml:space="preserve">Absent the requisite </w:t>
      </w:r>
      <w:r w:rsidR="003241E9" w:rsidRPr="005052F4">
        <w:t xml:space="preserve">suspicion, the </w:t>
      </w:r>
      <w:r w:rsidR="000D1F5A" w:rsidRPr="005052F4">
        <w:t xml:space="preserve">law </w:t>
      </w:r>
      <w:r w:rsidR="00CD6E96" w:rsidRPr="005052F4">
        <w:t>should not allow police officers to</w:t>
      </w:r>
      <w:r w:rsidR="000D1F5A" w:rsidRPr="005052F4">
        <w:t xml:space="preserve"> approach </w:t>
      </w:r>
      <w:r w:rsidR="00ED14BB" w:rsidRPr="005052F4">
        <w:t xml:space="preserve">private </w:t>
      </w:r>
      <w:r w:rsidR="00ED14BB" w:rsidRPr="005052F4">
        <w:lastRenderedPageBreak/>
        <w:t xml:space="preserve">individuals </w:t>
      </w:r>
      <w:r w:rsidR="00CD6E96" w:rsidRPr="005052F4">
        <w:t xml:space="preserve">(except those </w:t>
      </w:r>
      <w:r w:rsidR="00222EEE" w:rsidRPr="005052F4">
        <w:t>from whom helpful</w:t>
      </w:r>
      <w:r w:rsidR="003F7C5B" w:rsidRPr="005052F4">
        <w:t>, no</w:t>
      </w:r>
      <w:r w:rsidR="00765071" w:rsidRPr="005052F4">
        <w:t>n-self</w:t>
      </w:r>
      <w:r w:rsidR="00032603" w:rsidRPr="005052F4">
        <w:t>-</w:t>
      </w:r>
      <w:r w:rsidR="00A33655" w:rsidRPr="005052F4">
        <w:t xml:space="preserve">incriminating </w:t>
      </w:r>
      <w:r w:rsidR="00032603" w:rsidRPr="005052F4">
        <w:t xml:space="preserve">information </w:t>
      </w:r>
      <w:r w:rsidR="00B05B39" w:rsidRPr="005052F4">
        <w:t xml:space="preserve">may be </w:t>
      </w:r>
      <w:r w:rsidR="00222EEE" w:rsidRPr="005052F4">
        <w:t xml:space="preserve">sought) </w:t>
      </w:r>
      <w:r w:rsidR="008627A2" w:rsidRPr="005052F4">
        <w:t xml:space="preserve">to request information or engage in common </w:t>
      </w:r>
      <w:r w:rsidR="00765071" w:rsidRPr="005052F4">
        <w:t>law inqu</w:t>
      </w:r>
      <w:r w:rsidR="00F97C3D" w:rsidRPr="005052F4">
        <w:t>iry</w:t>
      </w:r>
      <w:r w:rsidR="003241E9" w:rsidRPr="005052F4">
        <w:t>.</w:t>
      </w:r>
    </w:p>
    <w:p w14:paraId="45835F38" w14:textId="72DB51B2" w:rsidR="003241E9" w:rsidRPr="005052F4" w:rsidRDefault="0003327F">
      <w:r w:rsidRPr="005052F4">
        <w:t>As the concurring judge observed, “</w:t>
      </w:r>
      <w:r w:rsidR="000B789C" w:rsidRPr="005052F4">
        <w:t>…</w:t>
      </w:r>
      <w:r w:rsidR="00711A5B" w:rsidRPr="005052F4">
        <w:t xml:space="preserve">Despite its best </w:t>
      </w:r>
      <w:r w:rsidR="008737CC" w:rsidRPr="005052F4">
        <w:t>intentions…</w:t>
      </w:r>
      <w:r w:rsidR="00711A5B" w:rsidRPr="005052F4">
        <w:t>the</w:t>
      </w:r>
      <w:r w:rsidR="00A33655" w:rsidRPr="005052F4">
        <w:t xml:space="preserve"> (</w:t>
      </w:r>
      <w:proofErr w:type="spellStart"/>
      <w:r w:rsidR="000B789C" w:rsidRPr="005052F4">
        <w:rPr>
          <w:i/>
          <w:iCs/>
        </w:rPr>
        <w:t>DeBour</w:t>
      </w:r>
      <w:proofErr w:type="spellEnd"/>
      <w:r w:rsidR="00A33655" w:rsidRPr="005052F4">
        <w:t>) framework</w:t>
      </w:r>
      <w:r w:rsidR="000B789C" w:rsidRPr="005052F4">
        <w:t>…</w:t>
      </w:r>
      <w:r w:rsidR="00A14971" w:rsidRPr="005052F4">
        <w:t xml:space="preserve">has failed to generate the predictability </w:t>
      </w:r>
      <w:r w:rsidR="00CA6B2B" w:rsidRPr="005052F4">
        <w:t>and precision in judicial review for which it strove. Instead, experience has shown that</w:t>
      </w:r>
      <w:r w:rsidR="00C95738" w:rsidRPr="005052F4">
        <w:t>, because the bar is set so low, courts often treat an officer’s speculation</w:t>
      </w:r>
      <w:r w:rsidR="008737CC" w:rsidRPr="005052F4">
        <w:t xml:space="preserve"> or hunch as some </w:t>
      </w:r>
      <w:r w:rsidR="00EB2E54" w:rsidRPr="005052F4">
        <w:t xml:space="preserve">objective credible reason for an approach under </w:t>
      </w:r>
      <w:r w:rsidR="00743C85" w:rsidRPr="005052F4">
        <w:t>level</w:t>
      </w:r>
      <w:r w:rsidR="00EB2E54" w:rsidRPr="005052F4">
        <w:t xml:space="preserve"> one. Similarl</w:t>
      </w:r>
      <w:r w:rsidR="00743C85" w:rsidRPr="005052F4">
        <w:t xml:space="preserve">y, level 2 is based on a </w:t>
      </w:r>
      <w:r w:rsidR="007D274F" w:rsidRPr="005052F4">
        <w:t>right to inquire that permits target</w:t>
      </w:r>
      <w:r w:rsidR="006F3F27" w:rsidRPr="005052F4">
        <w:t xml:space="preserve">ed </w:t>
      </w:r>
      <w:r w:rsidR="007D274F" w:rsidRPr="005052F4">
        <w:t xml:space="preserve">questioning without a </w:t>
      </w:r>
      <w:r w:rsidR="00296C6D" w:rsidRPr="005052F4">
        <w:t>(demonstrable</w:t>
      </w:r>
      <w:r w:rsidR="00AB75BA" w:rsidRPr="005052F4">
        <w:t xml:space="preserve"> nexus) to criminal activity</w:t>
      </w:r>
      <w:r w:rsidR="00763035" w:rsidRPr="005052F4">
        <w:t xml:space="preserve">. </w:t>
      </w:r>
      <w:r w:rsidR="003D2B3E" w:rsidRPr="005052F4">
        <w:t xml:space="preserve">Whether driven by animus or implied bias, the results are the erosion of the right </w:t>
      </w:r>
      <w:r w:rsidR="00104449" w:rsidRPr="005052F4">
        <w:t>to be left alone and increased risk to the safety of police officers and private individuals”</w:t>
      </w:r>
      <w:r w:rsidR="00221E2A" w:rsidRPr="005052F4">
        <w:t xml:space="preserve"> (</w:t>
      </w:r>
      <w:r w:rsidR="00FC6567" w:rsidRPr="005052F4">
        <w:t>c</w:t>
      </w:r>
      <w:r w:rsidR="00221E2A" w:rsidRPr="005052F4">
        <w:t>it</w:t>
      </w:r>
      <w:r w:rsidR="00FC6567" w:rsidRPr="005052F4">
        <w:t>i</w:t>
      </w:r>
      <w:r w:rsidR="00221E2A" w:rsidRPr="005052F4">
        <w:t xml:space="preserve">ng </w:t>
      </w:r>
      <w:r w:rsidR="00221E2A" w:rsidRPr="005052F4">
        <w:rPr>
          <w:i/>
          <w:iCs/>
        </w:rPr>
        <w:t xml:space="preserve">People v </w:t>
      </w:r>
      <w:proofErr w:type="spellStart"/>
      <w:r w:rsidR="00221E2A" w:rsidRPr="005052F4">
        <w:rPr>
          <w:i/>
          <w:iCs/>
        </w:rPr>
        <w:t>DeBour</w:t>
      </w:r>
      <w:proofErr w:type="spellEnd"/>
      <w:r w:rsidR="00221E2A" w:rsidRPr="005052F4">
        <w:t xml:space="preserve"> supra).</w:t>
      </w:r>
    </w:p>
    <w:p w14:paraId="1C2084CF" w14:textId="69D868A4" w:rsidR="00F8404C" w:rsidRPr="005052F4" w:rsidRDefault="00F8404C">
      <w:r w:rsidRPr="005052F4">
        <w:t xml:space="preserve">Long story short, </w:t>
      </w:r>
      <w:r w:rsidR="00035177" w:rsidRPr="005052F4">
        <w:t xml:space="preserve">if an officer lacks reasonable suspicion of criminality, there </w:t>
      </w:r>
      <w:r w:rsidR="00B65DB8" w:rsidRPr="005052F4">
        <w:t xml:space="preserve">should be </w:t>
      </w:r>
      <w:r w:rsidR="00035177" w:rsidRPr="005052F4">
        <w:t xml:space="preserve">no basis to </w:t>
      </w:r>
      <w:r w:rsidR="002F28A0" w:rsidRPr="005052F4">
        <w:t xml:space="preserve">buttonhole </w:t>
      </w:r>
      <w:r w:rsidR="00035177" w:rsidRPr="005052F4">
        <w:t xml:space="preserve">a citizen on the street and </w:t>
      </w:r>
      <w:r w:rsidR="009D76C7" w:rsidRPr="005052F4">
        <w:t>press him/her for information, let alone pat him/her down</w:t>
      </w:r>
      <w:r w:rsidR="006B59B2" w:rsidRPr="005052F4">
        <w:t xml:space="preserve"> for a weapon. </w:t>
      </w:r>
    </w:p>
    <w:p w14:paraId="7BB16876" w14:textId="77777777" w:rsidR="0019210C" w:rsidRPr="005052F4" w:rsidRDefault="0019210C"/>
    <w:p w14:paraId="744192B8" w14:textId="06B227E6" w:rsidR="00783B51" w:rsidRPr="005052F4" w:rsidRDefault="00224353">
      <w:r w:rsidRPr="005052F4">
        <w:t xml:space="preserve">SORTING THROUGH </w:t>
      </w:r>
      <w:r w:rsidR="00EC0A9C" w:rsidRPr="005052F4">
        <w:t xml:space="preserve">DEBOUR’S </w:t>
      </w:r>
      <w:r w:rsidR="00446A2F" w:rsidRPr="005052F4">
        <w:t xml:space="preserve">OVERLAPPING </w:t>
      </w:r>
      <w:r w:rsidR="00D3407E" w:rsidRPr="005052F4">
        <w:t>LEVELS OF INTRUSION</w:t>
      </w:r>
    </w:p>
    <w:p w14:paraId="6CD4595E" w14:textId="46E8B5D6" w:rsidR="00D3407E" w:rsidRPr="005052F4" w:rsidRDefault="00D3407E">
      <w:r w:rsidRPr="005052F4">
        <w:t xml:space="preserve">In </w:t>
      </w:r>
      <w:r w:rsidRPr="005052F4">
        <w:rPr>
          <w:i/>
          <w:iCs/>
        </w:rPr>
        <w:t>People v Creary</w:t>
      </w:r>
      <w:r w:rsidRPr="005052F4">
        <w:t xml:space="preserve">, </w:t>
      </w:r>
      <w:r w:rsidR="005A3FF2" w:rsidRPr="005052F4">
        <w:t>75 Misc.3d 857</w:t>
      </w:r>
      <w:r w:rsidRPr="005052F4">
        <w:t xml:space="preserve"> (Sup</w:t>
      </w:r>
      <w:r w:rsidR="005A3FF2" w:rsidRPr="005052F4">
        <w:t>.</w:t>
      </w:r>
      <w:r w:rsidRPr="005052F4">
        <w:t xml:space="preserve"> Ct</w:t>
      </w:r>
      <w:r w:rsidR="005A3FF2" w:rsidRPr="005052F4">
        <w:t>.,</w:t>
      </w:r>
      <w:r w:rsidRPr="005052F4">
        <w:t xml:space="preserve"> Queens County </w:t>
      </w:r>
      <w:r w:rsidR="005A3FF2" w:rsidRPr="005052F4">
        <w:t>20</w:t>
      </w:r>
      <w:r w:rsidR="00934437" w:rsidRPr="005052F4">
        <w:t xml:space="preserve">22), the court </w:t>
      </w:r>
      <w:r w:rsidR="006E5891" w:rsidRPr="005052F4">
        <w:t>wrestled with a situation in which the poli</w:t>
      </w:r>
      <w:r w:rsidR="00477858" w:rsidRPr="005052F4">
        <w:t>ce responded</w:t>
      </w:r>
      <w:r w:rsidR="00802F94" w:rsidRPr="005052F4">
        <w:t xml:space="preserve"> </w:t>
      </w:r>
      <w:r w:rsidR="00477858" w:rsidRPr="005052F4">
        <w:t xml:space="preserve">to </w:t>
      </w:r>
      <w:r w:rsidR="00802F94" w:rsidRPr="005052F4">
        <w:t xml:space="preserve">911 calls </w:t>
      </w:r>
      <w:r w:rsidR="00ED2C61" w:rsidRPr="005052F4">
        <w:t>five</w:t>
      </w:r>
      <w:r w:rsidR="007C78AE" w:rsidRPr="005052F4">
        <w:t xml:space="preserve"> </w:t>
      </w:r>
      <w:r w:rsidR="00805F07" w:rsidRPr="005052F4">
        <w:t>hours apart</w:t>
      </w:r>
      <w:r w:rsidR="00FF2E2A" w:rsidRPr="005052F4">
        <w:t>,</w:t>
      </w:r>
      <w:r w:rsidR="00805F07" w:rsidRPr="005052F4">
        <w:t xml:space="preserve"> the first one at 4:00am involving a call</w:t>
      </w:r>
      <w:r w:rsidR="00FC7E69" w:rsidRPr="005052F4">
        <w:t xml:space="preserve"> of domestic violence/gun</w:t>
      </w:r>
      <w:r w:rsidR="00FF2E2A" w:rsidRPr="005052F4">
        <w:t xml:space="preserve"> threat </w:t>
      </w:r>
      <w:r w:rsidR="007C78AE" w:rsidRPr="005052F4">
        <w:t xml:space="preserve">after which </w:t>
      </w:r>
      <w:r w:rsidR="001922B9" w:rsidRPr="005052F4">
        <w:t xml:space="preserve">the defendant left </w:t>
      </w:r>
      <w:r w:rsidR="004323CA" w:rsidRPr="005052F4">
        <w:t>his girlfriend’s</w:t>
      </w:r>
      <w:r w:rsidR="001922B9" w:rsidRPr="005052F4">
        <w:t xml:space="preserve"> apartment</w:t>
      </w:r>
      <w:r w:rsidR="004E48D0" w:rsidRPr="005052F4">
        <w:t xml:space="preserve"> and drove off in his Ford Explorer. </w:t>
      </w:r>
      <w:r w:rsidR="005B3CF9" w:rsidRPr="005052F4">
        <w:t>In the second call, the complainant reported that the</w:t>
      </w:r>
      <w:r w:rsidR="009B2950" w:rsidRPr="005052F4">
        <w:t xml:space="preserve"> defendant’s bedroom door </w:t>
      </w:r>
      <w:r w:rsidR="00F374CE" w:rsidRPr="005052F4">
        <w:t xml:space="preserve">was now closed behind which his cell phone was ringing, leading </w:t>
      </w:r>
      <w:r w:rsidR="00CF15A5" w:rsidRPr="005052F4">
        <w:t xml:space="preserve">her </w:t>
      </w:r>
      <w:r w:rsidR="006F59D7" w:rsidRPr="005052F4">
        <w:t>to believe that he had returned.</w:t>
      </w:r>
    </w:p>
    <w:p w14:paraId="74633A88" w14:textId="1962141B" w:rsidR="000008A3" w:rsidRPr="005052F4" w:rsidRDefault="003F0F65">
      <w:r w:rsidRPr="005052F4">
        <w:t xml:space="preserve">While the Emergency Services Unit went into the dwelling, </w:t>
      </w:r>
      <w:r w:rsidR="004759F2" w:rsidRPr="005052F4">
        <w:t>other police officers approached the defendant’s vehicle which was legally parked</w:t>
      </w:r>
      <w:r w:rsidR="0035706D" w:rsidRPr="005052F4">
        <w:t xml:space="preserve"> across</w:t>
      </w:r>
      <w:r w:rsidR="004759F2" w:rsidRPr="005052F4">
        <w:t xml:space="preserve"> the street. </w:t>
      </w:r>
      <w:r w:rsidR="00CF4EA6" w:rsidRPr="005052F4">
        <w:t xml:space="preserve">When they arrived, they did not </w:t>
      </w:r>
      <w:r w:rsidR="00C42111" w:rsidRPr="005052F4">
        <w:t>have a clear view inside</w:t>
      </w:r>
      <w:r w:rsidR="00C65947" w:rsidRPr="005052F4">
        <w:t xml:space="preserve"> the vehicle</w:t>
      </w:r>
      <w:r w:rsidR="00C42111" w:rsidRPr="005052F4">
        <w:t xml:space="preserve"> </w:t>
      </w:r>
      <w:r w:rsidR="00CF4EA6" w:rsidRPr="005052F4">
        <w:t>because the window</w:t>
      </w:r>
      <w:r w:rsidR="00C42111" w:rsidRPr="005052F4">
        <w:t>s were tinted.</w:t>
      </w:r>
    </w:p>
    <w:p w14:paraId="3A481B42" w14:textId="41E92C88" w:rsidR="0035706D" w:rsidRPr="005052F4" w:rsidRDefault="00962C9F">
      <w:r w:rsidRPr="005052F4">
        <w:t xml:space="preserve">A police sergeant knocked on </w:t>
      </w:r>
      <w:r w:rsidR="00B8391A" w:rsidRPr="005052F4">
        <w:t xml:space="preserve">the </w:t>
      </w:r>
      <w:r w:rsidRPr="005052F4">
        <w:t xml:space="preserve">driver’s door window </w:t>
      </w:r>
      <w:r w:rsidR="00E02CC0" w:rsidRPr="005052F4">
        <w:t>and observed a single occupant (the co-defendant</w:t>
      </w:r>
      <w:r w:rsidR="00CE6523" w:rsidRPr="005052F4">
        <w:t>, Hamilton</w:t>
      </w:r>
      <w:r w:rsidR="00297E5D" w:rsidRPr="005052F4">
        <w:t xml:space="preserve"> </w:t>
      </w:r>
      <w:r w:rsidR="00F4191C" w:rsidRPr="005052F4">
        <w:t xml:space="preserve">who was identified by the complainant) </w:t>
      </w:r>
      <w:r w:rsidR="00E02CC0" w:rsidRPr="005052F4">
        <w:t xml:space="preserve">asleep </w:t>
      </w:r>
      <w:r w:rsidR="00581E4D" w:rsidRPr="005052F4">
        <w:t xml:space="preserve">behind the wheel. </w:t>
      </w:r>
      <w:r w:rsidR="00F24A4F" w:rsidRPr="005052F4">
        <w:t xml:space="preserve">The sergeant </w:t>
      </w:r>
      <w:r w:rsidR="00B8391A" w:rsidRPr="005052F4">
        <w:t>ordered him to open the door (for safety reasons)</w:t>
      </w:r>
      <w:r w:rsidR="002C0938" w:rsidRPr="005052F4">
        <w:t xml:space="preserve">. When he did so, the sergeant observed </w:t>
      </w:r>
      <w:r w:rsidR="00E965C4" w:rsidRPr="005052F4">
        <w:t>a handgun in the pocket of the driver</w:t>
      </w:r>
      <w:r w:rsidR="001970B3" w:rsidRPr="005052F4">
        <w:t xml:space="preserve">’s </w:t>
      </w:r>
      <w:r w:rsidR="00E965C4" w:rsidRPr="005052F4">
        <w:t xml:space="preserve">door. Both defendants were </w:t>
      </w:r>
      <w:r w:rsidR="00D4693B" w:rsidRPr="005052F4">
        <w:t>charged with Criminal Possession of a Weapon 3</w:t>
      </w:r>
      <w:r w:rsidR="00D4693B" w:rsidRPr="005052F4">
        <w:rPr>
          <w:vertAlign w:val="superscript"/>
        </w:rPr>
        <w:t>rd</w:t>
      </w:r>
      <w:r w:rsidR="00D4693B" w:rsidRPr="005052F4">
        <w:t xml:space="preserve"> degree and Creary was also charged with menacing </w:t>
      </w:r>
      <w:r w:rsidR="007D4E64" w:rsidRPr="005052F4">
        <w:t>for the earlier threat.</w:t>
      </w:r>
    </w:p>
    <w:p w14:paraId="1184A8FC" w14:textId="2FB5958F" w:rsidR="007D4E64" w:rsidRPr="005052F4" w:rsidRDefault="005C67CC">
      <w:r w:rsidRPr="005052F4">
        <w:t>Addressing what it described as the “</w:t>
      </w:r>
      <w:proofErr w:type="spellStart"/>
      <w:r w:rsidRPr="005052F4">
        <w:rPr>
          <w:i/>
          <w:iCs/>
        </w:rPr>
        <w:t>DeBour</w:t>
      </w:r>
      <w:proofErr w:type="spellEnd"/>
      <w:r w:rsidRPr="005052F4">
        <w:t xml:space="preserve"> </w:t>
      </w:r>
      <w:r w:rsidR="004A5EAA" w:rsidRPr="005052F4">
        <w:t xml:space="preserve">conundrum,” the court observed that wading through </w:t>
      </w:r>
      <w:r w:rsidR="00FA6155" w:rsidRPr="005052F4">
        <w:t xml:space="preserve">the four levels of street encounters </w:t>
      </w:r>
      <w:r w:rsidR="000205CC" w:rsidRPr="005052F4">
        <w:t xml:space="preserve">was </w:t>
      </w:r>
      <w:r w:rsidR="00BD4DB7" w:rsidRPr="005052F4">
        <w:t xml:space="preserve">a “thorny” proposition. The court noted </w:t>
      </w:r>
      <w:r w:rsidR="008B117D" w:rsidRPr="005052F4">
        <w:t xml:space="preserve">that </w:t>
      </w:r>
      <w:r w:rsidR="00225060" w:rsidRPr="005052F4">
        <w:t xml:space="preserve">judges </w:t>
      </w:r>
      <w:r w:rsidR="00644BE5" w:rsidRPr="005052F4">
        <w:t>sometimes “</w:t>
      </w:r>
      <w:r w:rsidR="008A6757" w:rsidRPr="005052F4">
        <w:t>conflate” the different lev</w:t>
      </w:r>
      <w:r w:rsidR="007F4337" w:rsidRPr="005052F4">
        <w:t xml:space="preserve">els, thus permitting a forcible detention and frisk (level 3) when only a common law inquiry (level 2) </w:t>
      </w:r>
      <w:r w:rsidR="001E1065" w:rsidRPr="005052F4">
        <w:t>is warranted (</w:t>
      </w:r>
      <w:r w:rsidR="005A3FF2" w:rsidRPr="005052F4">
        <w:t>c</w:t>
      </w:r>
      <w:r w:rsidR="001E1065" w:rsidRPr="005052F4">
        <w:t xml:space="preserve">iting </w:t>
      </w:r>
      <w:r w:rsidR="009F3F70" w:rsidRPr="005052F4">
        <w:rPr>
          <w:i/>
          <w:iCs/>
        </w:rPr>
        <w:t>People v Abdul-Mateen</w:t>
      </w:r>
      <w:r w:rsidR="009F3F70" w:rsidRPr="005052F4">
        <w:t>, 126 AD3d 986 [2</w:t>
      </w:r>
      <w:r w:rsidR="005A3FF2" w:rsidRPr="005052F4">
        <w:rPr>
          <w:vertAlign w:val="superscript"/>
        </w:rPr>
        <w:t>nd</w:t>
      </w:r>
      <w:r w:rsidR="009F3F70" w:rsidRPr="005052F4">
        <w:t xml:space="preserve"> Dept 2</w:t>
      </w:r>
      <w:r w:rsidR="005D76CA" w:rsidRPr="005052F4">
        <w:t>015]).</w:t>
      </w:r>
    </w:p>
    <w:p w14:paraId="67006CB7" w14:textId="69C993D5" w:rsidR="004D68B2" w:rsidRPr="005052F4" w:rsidRDefault="00235322">
      <w:r w:rsidRPr="005052F4">
        <w:t xml:space="preserve">The court also questioned why a police officer can only frisk a suspect </w:t>
      </w:r>
      <w:r w:rsidR="003F1D69" w:rsidRPr="005052F4">
        <w:t xml:space="preserve">upon reasonable suspicion (and some indicia of a weapon) but not at levels one or two </w:t>
      </w:r>
      <w:r w:rsidR="002A0246" w:rsidRPr="005052F4">
        <w:t xml:space="preserve">where </w:t>
      </w:r>
      <w:r w:rsidR="0089225C" w:rsidRPr="005052F4">
        <w:t>safety</w:t>
      </w:r>
      <w:r w:rsidR="009F57FB" w:rsidRPr="005052F4">
        <w:t>, as a practical matter, is</w:t>
      </w:r>
      <w:r w:rsidR="0089225C" w:rsidRPr="005052F4">
        <w:t xml:space="preserve"> no less a concern (</w:t>
      </w:r>
      <w:r w:rsidR="005A3FF2" w:rsidRPr="005052F4">
        <w:t>c</w:t>
      </w:r>
      <w:r w:rsidR="0089225C" w:rsidRPr="005052F4">
        <w:t xml:space="preserve">iting </w:t>
      </w:r>
      <w:r w:rsidR="0089225C" w:rsidRPr="005052F4">
        <w:rPr>
          <w:i/>
          <w:iCs/>
        </w:rPr>
        <w:t>People v Benjamin</w:t>
      </w:r>
      <w:r w:rsidR="0089225C" w:rsidRPr="005052F4">
        <w:t xml:space="preserve">, </w:t>
      </w:r>
      <w:r w:rsidR="008E4D1B" w:rsidRPr="005052F4">
        <w:t>51 NY2d 267 [1980]).</w:t>
      </w:r>
    </w:p>
    <w:p w14:paraId="4C290B3E" w14:textId="5BCE4409" w:rsidR="006F59D7" w:rsidRPr="005052F4" w:rsidRDefault="008E4D1B">
      <w:r w:rsidRPr="005052F4">
        <w:t xml:space="preserve">It should be noted, however, that </w:t>
      </w:r>
      <w:r w:rsidR="0031503D" w:rsidRPr="005052F4">
        <w:t xml:space="preserve">in </w:t>
      </w:r>
      <w:proofErr w:type="spellStart"/>
      <w:r w:rsidR="006A220A" w:rsidRPr="005052F4">
        <w:rPr>
          <w:i/>
          <w:iCs/>
        </w:rPr>
        <w:t>DeBour</w:t>
      </w:r>
      <w:proofErr w:type="spellEnd"/>
      <w:r w:rsidR="006A220A" w:rsidRPr="005052F4">
        <w:t xml:space="preserve">, </w:t>
      </w:r>
      <w:r w:rsidR="0031503D" w:rsidRPr="005052F4">
        <w:t>the officers who observed the defendant</w:t>
      </w:r>
      <w:r w:rsidR="00B728DE" w:rsidRPr="005052F4">
        <w:t xml:space="preserve"> suddenly</w:t>
      </w:r>
      <w:r w:rsidR="0031503D" w:rsidRPr="005052F4">
        <w:t xml:space="preserve"> cross the stree</w:t>
      </w:r>
      <w:r w:rsidR="009F7F24" w:rsidRPr="005052F4">
        <w:t>t in a high-crime nei</w:t>
      </w:r>
      <w:r w:rsidR="00CB1AD2" w:rsidRPr="005052F4">
        <w:t xml:space="preserve">ghborhood </w:t>
      </w:r>
      <w:r w:rsidR="004E6134" w:rsidRPr="005052F4">
        <w:t xml:space="preserve">late at night </w:t>
      </w:r>
      <w:r w:rsidR="00B72E71" w:rsidRPr="005052F4">
        <w:t xml:space="preserve">were deemed to have had </w:t>
      </w:r>
      <w:r w:rsidR="00BF77AA" w:rsidRPr="005052F4">
        <w:t xml:space="preserve">an </w:t>
      </w:r>
      <w:r w:rsidR="00B72E71" w:rsidRPr="005052F4">
        <w:t xml:space="preserve">objective credible reason to approach him (level </w:t>
      </w:r>
      <w:r w:rsidR="004C3787" w:rsidRPr="005052F4">
        <w:t>one)</w:t>
      </w:r>
      <w:r w:rsidR="008333F4" w:rsidRPr="005052F4">
        <w:t xml:space="preserve"> and </w:t>
      </w:r>
      <w:r w:rsidR="00B728DE" w:rsidRPr="005052F4">
        <w:t xml:space="preserve">were justified in </w:t>
      </w:r>
      <w:r w:rsidR="00F97DA6" w:rsidRPr="005052F4">
        <w:t xml:space="preserve">directing him to open his jacket when they observed </w:t>
      </w:r>
      <w:r w:rsidR="000C099A" w:rsidRPr="005052F4">
        <w:t xml:space="preserve">what they perceived to be the outline of a handgun. </w:t>
      </w:r>
    </w:p>
    <w:p w14:paraId="53E2745A" w14:textId="0FB87C66" w:rsidR="005F15A2" w:rsidRPr="005052F4" w:rsidRDefault="009F3F1F">
      <w:r w:rsidRPr="005052F4">
        <w:lastRenderedPageBreak/>
        <w:t xml:space="preserve">In his motion to suppress, the defendant argued that since his vehicle </w:t>
      </w:r>
      <w:r w:rsidR="00BF77AA" w:rsidRPr="005052F4">
        <w:t xml:space="preserve">was </w:t>
      </w:r>
      <w:r w:rsidRPr="005052F4">
        <w:t xml:space="preserve">lawfully </w:t>
      </w:r>
      <w:r w:rsidR="007347E7" w:rsidRPr="005052F4">
        <w:t xml:space="preserve">parked, </w:t>
      </w:r>
      <w:r w:rsidR="00BF77AA" w:rsidRPr="005052F4">
        <w:t>and the</w:t>
      </w:r>
      <w:r w:rsidR="009F4AAC" w:rsidRPr="005052F4">
        <w:t xml:space="preserve"> co-defendant was not suspected of any criminality (in or out of the </w:t>
      </w:r>
      <w:r w:rsidR="007347E7" w:rsidRPr="005052F4">
        <w:t>vehicle)</w:t>
      </w:r>
      <w:r w:rsidR="0016454C" w:rsidRPr="005052F4">
        <w:t>,</w:t>
      </w:r>
      <w:r w:rsidR="00FB36B2" w:rsidRPr="005052F4">
        <w:t xml:space="preserve"> there </w:t>
      </w:r>
      <w:r w:rsidR="008333F4" w:rsidRPr="005052F4">
        <w:t>was no justification for ordering the codefendant to open the door</w:t>
      </w:r>
      <w:r w:rsidR="0067159C" w:rsidRPr="005052F4">
        <w:t xml:space="preserve"> (</w:t>
      </w:r>
      <w:r w:rsidR="005A3FF2" w:rsidRPr="005052F4">
        <w:t>c</w:t>
      </w:r>
      <w:r w:rsidR="0067159C" w:rsidRPr="005052F4">
        <w:t xml:space="preserve">iting </w:t>
      </w:r>
      <w:r w:rsidR="0067159C" w:rsidRPr="005052F4">
        <w:rPr>
          <w:i/>
          <w:iCs/>
        </w:rPr>
        <w:t>People v</w:t>
      </w:r>
      <w:r w:rsidR="006606E2" w:rsidRPr="005052F4">
        <w:rPr>
          <w:i/>
          <w:iCs/>
        </w:rPr>
        <w:t xml:space="preserve"> Eugenio</w:t>
      </w:r>
      <w:r w:rsidR="0067159C" w:rsidRPr="005052F4">
        <w:t>, 1</w:t>
      </w:r>
      <w:r w:rsidR="006606E2" w:rsidRPr="005052F4">
        <w:t>85 AD2d 1050 [2</w:t>
      </w:r>
      <w:r w:rsidR="005A3FF2" w:rsidRPr="005052F4">
        <w:rPr>
          <w:vertAlign w:val="superscript"/>
        </w:rPr>
        <w:t>nd</w:t>
      </w:r>
      <w:r w:rsidR="006606E2" w:rsidRPr="005052F4">
        <w:t xml:space="preserve"> Dept 2020]).</w:t>
      </w:r>
    </w:p>
    <w:p w14:paraId="287C3A99" w14:textId="338916EB" w:rsidR="003406B2" w:rsidRPr="005052F4" w:rsidRDefault="003406B2">
      <w:r w:rsidRPr="005052F4">
        <w:t xml:space="preserve">The </w:t>
      </w:r>
      <w:r w:rsidR="00857E9D" w:rsidRPr="005052F4">
        <w:t xml:space="preserve">court held that the police had </w:t>
      </w:r>
      <w:r w:rsidR="00602833" w:rsidRPr="005052F4">
        <w:t>an objective credible reason to approach the vehicle and request information of the co-defendant (level one inquiry</w:t>
      </w:r>
      <w:proofErr w:type="gramStart"/>
      <w:r w:rsidR="00602833" w:rsidRPr="005052F4">
        <w:t>)</w:t>
      </w:r>
      <w:proofErr w:type="gramEnd"/>
      <w:r w:rsidR="00772D9C" w:rsidRPr="005052F4">
        <w:t xml:space="preserve"> but they went too far in having</w:t>
      </w:r>
      <w:r w:rsidR="00CC5F55" w:rsidRPr="005052F4">
        <w:t xml:space="preserve"> him</w:t>
      </w:r>
      <w:r w:rsidR="00772D9C" w:rsidRPr="005052F4">
        <w:t xml:space="preserve"> open the door </w:t>
      </w:r>
      <w:r w:rsidR="008C6BA2" w:rsidRPr="005052F4">
        <w:t>because there was no indication of any criminal activity afoot (Level 2).</w:t>
      </w:r>
    </w:p>
    <w:p w14:paraId="7C23DA89" w14:textId="2D410240" w:rsidR="000322E6" w:rsidRPr="005052F4" w:rsidRDefault="00BD0834">
      <w:r w:rsidRPr="005052F4">
        <w:t xml:space="preserve">The co-defendant was not a suspect in any crime, </w:t>
      </w:r>
      <w:r w:rsidR="004C23BD" w:rsidRPr="005052F4">
        <w:t xml:space="preserve">he did not engage in conduct that </w:t>
      </w:r>
      <w:r w:rsidR="00471024" w:rsidRPr="005052F4">
        <w:t xml:space="preserve">triggered any concern for officer safety, </w:t>
      </w:r>
      <w:r w:rsidRPr="005052F4">
        <w:t>the defendant was not inside the vehicle</w:t>
      </w:r>
      <w:r w:rsidR="00431984" w:rsidRPr="005052F4">
        <w:t xml:space="preserve"> (in fact the police believed he was in the dwelling)</w:t>
      </w:r>
      <w:r w:rsidR="009B77E4" w:rsidRPr="005052F4">
        <w:t xml:space="preserve"> </w:t>
      </w:r>
      <w:r w:rsidR="009963D0" w:rsidRPr="005052F4">
        <w:t>and there was no reason to believe that evidence of a crime was inside the vehicle</w:t>
      </w:r>
      <w:r w:rsidR="006654D8" w:rsidRPr="005052F4">
        <w:t xml:space="preserve"> several hours after the defendant reportedly threatened the complainant </w:t>
      </w:r>
      <w:r w:rsidR="000322E6" w:rsidRPr="005052F4">
        <w:t>with a gun.</w:t>
      </w:r>
    </w:p>
    <w:p w14:paraId="1B796D91" w14:textId="3BA6D64A" w:rsidR="005007E1" w:rsidRPr="005052F4" w:rsidRDefault="00FA3BDF">
      <w:r w:rsidRPr="005052F4">
        <w:t>The court also</w:t>
      </w:r>
      <w:r w:rsidR="00D42F51" w:rsidRPr="005052F4">
        <w:t xml:space="preserve"> dismissed the auto</w:t>
      </w:r>
      <w:r w:rsidR="003612B4" w:rsidRPr="005052F4">
        <w:t>mobile</w:t>
      </w:r>
      <w:r w:rsidR="00D42F51" w:rsidRPr="005052F4">
        <w:t xml:space="preserve"> exception, concluding that </w:t>
      </w:r>
      <w:r w:rsidR="00FA5AD1" w:rsidRPr="005052F4">
        <w:t>there was no probable cause (independent of an arrest) to search the vehicle</w:t>
      </w:r>
      <w:r w:rsidR="00E05EEA" w:rsidRPr="005052F4">
        <w:t xml:space="preserve"> nor was there any nexus between probable cause </w:t>
      </w:r>
      <w:r w:rsidR="00C83E7F" w:rsidRPr="005052F4">
        <w:t>to search (which was lacking</w:t>
      </w:r>
      <w:r w:rsidR="0041237F" w:rsidRPr="005052F4">
        <w:t xml:space="preserve"> in any event)</w:t>
      </w:r>
      <w:r w:rsidR="008C0645" w:rsidRPr="005052F4">
        <w:t xml:space="preserve"> </w:t>
      </w:r>
      <w:r w:rsidR="00E05EEA" w:rsidRPr="005052F4">
        <w:t xml:space="preserve">and </w:t>
      </w:r>
      <w:r w:rsidR="006F6482" w:rsidRPr="005052F4">
        <w:t>the arrest (</w:t>
      </w:r>
      <w:r w:rsidR="0043569E" w:rsidRPr="005052F4">
        <w:t>c</w:t>
      </w:r>
      <w:r w:rsidR="006F6482" w:rsidRPr="005052F4">
        <w:t xml:space="preserve">iting </w:t>
      </w:r>
      <w:r w:rsidR="006F6482" w:rsidRPr="005052F4">
        <w:rPr>
          <w:i/>
          <w:iCs/>
        </w:rPr>
        <w:t>U</w:t>
      </w:r>
      <w:r w:rsidR="0043569E" w:rsidRPr="005052F4">
        <w:rPr>
          <w:i/>
          <w:iCs/>
        </w:rPr>
        <w:t xml:space="preserve">nited States </w:t>
      </w:r>
      <w:r w:rsidR="006F6482" w:rsidRPr="005052F4">
        <w:rPr>
          <w:i/>
          <w:iCs/>
        </w:rPr>
        <w:t>v Ro</w:t>
      </w:r>
      <w:r w:rsidR="00F74B8B" w:rsidRPr="005052F4">
        <w:rPr>
          <w:i/>
          <w:iCs/>
        </w:rPr>
        <w:t>ss</w:t>
      </w:r>
      <w:r w:rsidR="006F6482" w:rsidRPr="005052F4">
        <w:t>, 456 US 798 [1982]</w:t>
      </w:r>
      <w:r w:rsidR="00E83873" w:rsidRPr="005052F4">
        <w:t xml:space="preserve">, and </w:t>
      </w:r>
      <w:r w:rsidR="00E83873" w:rsidRPr="005052F4">
        <w:rPr>
          <w:i/>
          <w:iCs/>
        </w:rPr>
        <w:t>People v Francois</w:t>
      </w:r>
      <w:r w:rsidR="00E83873" w:rsidRPr="005052F4">
        <w:t>, 138 AD3d 1165 [3</w:t>
      </w:r>
      <w:r w:rsidR="0043569E" w:rsidRPr="005052F4">
        <w:rPr>
          <w:vertAlign w:val="superscript"/>
        </w:rPr>
        <w:t>rd</w:t>
      </w:r>
      <w:r w:rsidR="00E83873" w:rsidRPr="005052F4">
        <w:t xml:space="preserve"> Dept 2016]). </w:t>
      </w:r>
    </w:p>
    <w:p w14:paraId="57BB5B6C" w14:textId="1FBCE380" w:rsidR="00300754" w:rsidRPr="005052F4" w:rsidRDefault="00F74B8B">
      <w:r w:rsidRPr="005052F4">
        <w:t xml:space="preserve">Noting the </w:t>
      </w:r>
      <w:r w:rsidR="006432C5" w:rsidRPr="005052F4">
        <w:t xml:space="preserve">hazards </w:t>
      </w:r>
      <w:r w:rsidR="007C13CE" w:rsidRPr="005052F4">
        <w:t xml:space="preserve">of </w:t>
      </w:r>
      <w:r w:rsidR="008C0645" w:rsidRPr="005052F4">
        <w:t>allowing</w:t>
      </w:r>
      <w:r w:rsidR="007C13CE" w:rsidRPr="005052F4">
        <w:t xml:space="preserve"> </w:t>
      </w:r>
      <w:r w:rsidR="002823DA" w:rsidRPr="005052F4">
        <w:t xml:space="preserve">greater intrusions than are warranted by </w:t>
      </w:r>
      <w:r w:rsidR="008B7C89" w:rsidRPr="005052F4">
        <w:t xml:space="preserve">the level of information </w:t>
      </w:r>
      <w:proofErr w:type="gramStart"/>
      <w:r w:rsidR="008B7C89" w:rsidRPr="005052F4">
        <w:t>actually possessed</w:t>
      </w:r>
      <w:proofErr w:type="gramEnd"/>
      <w:r w:rsidR="008B7C89" w:rsidRPr="005052F4">
        <w:t xml:space="preserve">, the </w:t>
      </w:r>
      <w:r w:rsidR="00E43EC8" w:rsidRPr="005052F4">
        <w:t>court observed that “</w:t>
      </w:r>
      <w:proofErr w:type="spellStart"/>
      <w:r w:rsidR="00E43EC8" w:rsidRPr="005052F4">
        <w:rPr>
          <w:i/>
          <w:iCs/>
        </w:rPr>
        <w:t>DeBour’s</w:t>
      </w:r>
      <w:proofErr w:type="spellEnd"/>
      <w:r w:rsidR="00E43EC8" w:rsidRPr="005052F4">
        <w:t xml:space="preserve"> enigmatic uncertainty has desce</w:t>
      </w:r>
      <w:r w:rsidRPr="005052F4">
        <w:t xml:space="preserve">nded </w:t>
      </w:r>
      <w:r w:rsidR="00E43EC8" w:rsidRPr="005052F4">
        <w:t>into a p</w:t>
      </w:r>
      <w:r w:rsidR="0049309B" w:rsidRPr="005052F4">
        <w:t>sychedelic fusion of confusion” (</w:t>
      </w:r>
      <w:r w:rsidR="0043569E" w:rsidRPr="005052F4">
        <w:t>c</w:t>
      </w:r>
      <w:r w:rsidR="0049309B" w:rsidRPr="005052F4">
        <w:t xml:space="preserve">iting </w:t>
      </w:r>
      <w:r w:rsidR="0049309B" w:rsidRPr="005052F4">
        <w:rPr>
          <w:i/>
          <w:iCs/>
        </w:rPr>
        <w:t>People v Benjamin</w:t>
      </w:r>
      <w:r w:rsidR="0049309B" w:rsidRPr="005052F4">
        <w:t xml:space="preserve">, supra at 270 and </w:t>
      </w:r>
      <w:r w:rsidR="0049309B" w:rsidRPr="005052F4">
        <w:rPr>
          <w:i/>
          <w:iCs/>
        </w:rPr>
        <w:t xml:space="preserve">People v </w:t>
      </w:r>
      <w:proofErr w:type="spellStart"/>
      <w:r w:rsidR="0049309B" w:rsidRPr="005052F4">
        <w:rPr>
          <w:i/>
          <w:iCs/>
        </w:rPr>
        <w:t>Lypka</w:t>
      </w:r>
      <w:proofErr w:type="spellEnd"/>
      <w:r w:rsidR="0049309B" w:rsidRPr="005052F4">
        <w:t>, 236 NY</w:t>
      </w:r>
      <w:r w:rsidR="00004FCC" w:rsidRPr="005052F4">
        <w:t>2d 210 [1975]).</w:t>
      </w:r>
    </w:p>
    <w:p w14:paraId="7772FE9E" w14:textId="2B4630E9" w:rsidR="00602489" w:rsidRPr="005052F4" w:rsidRDefault="008D6E76">
      <w:r w:rsidRPr="005052F4">
        <w:t>FINAL THOUGHT</w:t>
      </w:r>
    </w:p>
    <w:p w14:paraId="2C657E82" w14:textId="0A45D71A" w:rsidR="008D6E76" w:rsidRPr="005052F4" w:rsidRDefault="00FA10E4">
      <w:r w:rsidRPr="005052F4">
        <w:t>Despite ongoing criticism</w:t>
      </w:r>
      <w:r w:rsidR="009C7252" w:rsidRPr="005052F4">
        <w:t xml:space="preserve"> as </w:t>
      </w:r>
      <w:r w:rsidR="003464D1" w:rsidRPr="005052F4">
        <w:t>being</w:t>
      </w:r>
      <w:r w:rsidR="009C7252" w:rsidRPr="005052F4">
        <w:t xml:space="preserve"> unrealistic, artificial</w:t>
      </w:r>
      <w:r w:rsidR="00EB6780" w:rsidRPr="005052F4">
        <w:t xml:space="preserve">, </w:t>
      </w:r>
      <w:r w:rsidR="009C7252" w:rsidRPr="005052F4">
        <w:t>and confusing</w:t>
      </w:r>
      <w:r w:rsidR="00F17F10" w:rsidRPr="005052F4">
        <w:t xml:space="preserve">, </w:t>
      </w:r>
      <w:proofErr w:type="spellStart"/>
      <w:r w:rsidR="00F17F10" w:rsidRPr="005052F4">
        <w:rPr>
          <w:i/>
          <w:iCs/>
        </w:rPr>
        <w:t>DeBour</w:t>
      </w:r>
      <w:proofErr w:type="spellEnd"/>
      <w:r w:rsidR="00F17F10" w:rsidRPr="005052F4">
        <w:t xml:space="preserve"> still provides the</w:t>
      </w:r>
      <w:r w:rsidR="00223E6B" w:rsidRPr="005052F4">
        <w:t xml:space="preserve"> </w:t>
      </w:r>
      <w:r w:rsidR="00EF52F9" w:rsidRPr="005052F4">
        <w:t>(</w:t>
      </w:r>
      <w:r w:rsidR="00223E6B" w:rsidRPr="005052F4">
        <w:t>seemingly fragile</w:t>
      </w:r>
      <w:r w:rsidR="00EF52F9" w:rsidRPr="005052F4">
        <w:t>)</w:t>
      </w:r>
      <w:r w:rsidR="00F17F10" w:rsidRPr="005052F4">
        <w:t xml:space="preserve"> framework for </w:t>
      </w:r>
      <w:r w:rsidR="00310DFD" w:rsidRPr="005052F4">
        <w:t>evaluating police-citizen encounters that result in the seizure of incriminating evidenc</w:t>
      </w:r>
      <w:r w:rsidR="00F17F10" w:rsidRPr="005052F4">
        <w:t>e.</w:t>
      </w:r>
    </w:p>
    <w:p w14:paraId="1FA12BB0" w14:textId="2C70772C" w:rsidR="006048F7" w:rsidRPr="005052F4" w:rsidRDefault="00E064A6">
      <w:r w:rsidRPr="005052F4">
        <w:t>Whether the Court</w:t>
      </w:r>
      <w:r w:rsidR="00C704B6" w:rsidRPr="005052F4">
        <w:t xml:space="preserve"> of Appeals</w:t>
      </w:r>
      <w:r w:rsidRPr="005052F4">
        <w:t xml:space="preserve"> eventually adopts </w:t>
      </w:r>
      <w:r w:rsidR="00EB6780" w:rsidRPr="005052F4">
        <w:t xml:space="preserve">the concurring judge’s recommendation </w:t>
      </w:r>
      <w:r w:rsidR="00DB1B9E" w:rsidRPr="005052F4">
        <w:t xml:space="preserve">in </w:t>
      </w:r>
      <w:r w:rsidR="00DB1B9E" w:rsidRPr="005052F4">
        <w:rPr>
          <w:i/>
          <w:iCs/>
        </w:rPr>
        <w:t>Johnson</w:t>
      </w:r>
      <w:r w:rsidR="00DB1B9E" w:rsidRPr="005052F4">
        <w:t xml:space="preserve"> </w:t>
      </w:r>
      <w:r w:rsidR="00EB6780" w:rsidRPr="005052F4">
        <w:t xml:space="preserve">to permit police-initiated </w:t>
      </w:r>
      <w:r w:rsidR="00FB550B" w:rsidRPr="005052F4">
        <w:t>encounters only upon reasonable suspicion of criminality</w:t>
      </w:r>
      <w:r w:rsidR="00FD2D21" w:rsidRPr="005052F4">
        <w:t xml:space="preserve"> </w:t>
      </w:r>
      <w:r w:rsidR="002902FC" w:rsidRPr="005052F4">
        <w:t>(</w:t>
      </w:r>
      <w:r w:rsidR="007E35C1" w:rsidRPr="005052F4">
        <w:t xml:space="preserve">arguably </w:t>
      </w:r>
      <w:r w:rsidR="00453B00" w:rsidRPr="005052F4">
        <w:t xml:space="preserve">limiting </w:t>
      </w:r>
      <w:r w:rsidR="004055E3" w:rsidRPr="005052F4">
        <w:t xml:space="preserve">law </w:t>
      </w:r>
      <w:r w:rsidR="00670F46" w:rsidRPr="005052F4">
        <w:t>enforcement’s</w:t>
      </w:r>
      <w:r w:rsidR="00733EDF" w:rsidRPr="005052F4">
        <w:t xml:space="preserve"> ability </w:t>
      </w:r>
      <w:r w:rsidR="00523B5D" w:rsidRPr="005052F4">
        <w:t>nip criminal activity in the bud</w:t>
      </w:r>
      <w:r w:rsidR="00906F54" w:rsidRPr="005052F4">
        <w:t xml:space="preserve">) </w:t>
      </w:r>
      <w:r w:rsidR="00E20D29" w:rsidRPr="005052F4">
        <w:t>remain</w:t>
      </w:r>
      <w:r w:rsidR="00906F54" w:rsidRPr="005052F4">
        <w:t>s</w:t>
      </w:r>
      <w:r w:rsidR="00E20D29" w:rsidRPr="005052F4">
        <w:t xml:space="preserve"> to be seen. </w:t>
      </w:r>
    </w:p>
    <w:p w14:paraId="4023820A" w14:textId="4B24B6FC" w:rsidR="00E064A6" w:rsidRDefault="00E20D29">
      <w:r w:rsidRPr="005052F4">
        <w:t xml:space="preserve">In the meantime, prosecutors, defense </w:t>
      </w:r>
      <w:r w:rsidR="0058698E" w:rsidRPr="005052F4">
        <w:t xml:space="preserve">lawyers and judges will continue to </w:t>
      </w:r>
      <w:r w:rsidR="002817B0" w:rsidRPr="005052F4">
        <w:t xml:space="preserve">wrangle over </w:t>
      </w:r>
      <w:r w:rsidR="006048F7" w:rsidRPr="005052F4">
        <w:t>mul</w:t>
      </w:r>
      <w:r w:rsidR="00B65FAB" w:rsidRPr="005052F4">
        <w:t>tiple</w:t>
      </w:r>
      <w:r w:rsidR="00D53990" w:rsidRPr="005052F4">
        <w:t xml:space="preserve"> </w:t>
      </w:r>
      <w:r w:rsidR="00EB458C" w:rsidRPr="005052F4">
        <w:t>l</w:t>
      </w:r>
      <w:r w:rsidR="005F3CEC" w:rsidRPr="005052F4">
        <w:t>evels</w:t>
      </w:r>
      <w:r w:rsidR="00EB458C" w:rsidRPr="005052F4">
        <w:t xml:space="preserve"> </w:t>
      </w:r>
      <w:r w:rsidR="00DB1B9E" w:rsidRPr="005052F4">
        <w:t xml:space="preserve">of </w:t>
      </w:r>
      <w:r w:rsidR="004B5CC1" w:rsidRPr="005052F4">
        <w:t>permissible police conduct</w:t>
      </w:r>
      <w:r w:rsidR="000F2D1C" w:rsidRPr="005052F4">
        <w:t xml:space="preserve"> in what are often </w:t>
      </w:r>
      <w:r w:rsidR="00422B02" w:rsidRPr="005052F4">
        <w:t>dynamic, fast-moving</w:t>
      </w:r>
      <w:r w:rsidR="000F2D1C" w:rsidRPr="005052F4">
        <w:t xml:space="preserve"> </w:t>
      </w:r>
      <w:r w:rsidR="00F4334C" w:rsidRPr="005052F4">
        <w:t xml:space="preserve">situations that don’t </w:t>
      </w:r>
      <w:r w:rsidR="00E162D6" w:rsidRPr="005052F4">
        <w:t xml:space="preserve">easily </w:t>
      </w:r>
      <w:r w:rsidR="00F4334C" w:rsidRPr="005052F4">
        <w:t xml:space="preserve">lend themselves to </w:t>
      </w:r>
      <w:r w:rsidR="00D10657" w:rsidRPr="005052F4">
        <w:t>clear-cut catego</w:t>
      </w:r>
      <w:r w:rsidR="00473D2D" w:rsidRPr="005052F4">
        <w:t>rization.</w:t>
      </w:r>
      <w:r w:rsidR="00473D2D">
        <w:t xml:space="preserve"> </w:t>
      </w:r>
    </w:p>
    <w:p w14:paraId="3F849E3D" w14:textId="77777777" w:rsidR="000176B3" w:rsidRDefault="000176B3"/>
    <w:p w14:paraId="25104F42" w14:textId="77777777" w:rsidR="0001149C" w:rsidRDefault="0001149C"/>
    <w:p w14:paraId="33C835D4" w14:textId="77777777" w:rsidR="007F00DE" w:rsidRDefault="007F00DE"/>
    <w:p w14:paraId="69C8FB04" w14:textId="77777777" w:rsidR="00EA17F7" w:rsidRDefault="00EA17F7"/>
    <w:p w14:paraId="22196027" w14:textId="77777777" w:rsidR="00DB7092" w:rsidRDefault="00DB7092"/>
    <w:p w14:paraId="01422C35" w14:textId="77777777" w:rsidR="003F5BCC" w:rsidRDefault="003F5BCC"/>
    <w:p w14:paraId="6FF5EDE3" w14:textId="77777777" w:rsidR="00B552CC" w:rsidRDefault="00B552CC"/>
    <w:p w14:paraId="44400895" w14:textId="77777777" w:rsidR="003D4905" w:rsidRDefault="003D4905"/>
    <w:p w14:paraId="722EC2BD" w14:textId="77777777" w:rsidR="003D4905" w:rsidRDefault="003D4905"/>
    <w:p w14:paraId="4F83E133" w14:textId="77777777" w:rsidR="00AC653F" w:rsidRDefault="00AC653F"/>
    <w:p w14:paraId="21E661E4" w14:textId="77777777" w:rsidR="00276042" w:rsidRDefault="00276042"/>
    <w:p w14:paraId="47A27F03" w14:textId="77777777" w:rsidR="001849E1" w:rsidRDefault="001849E1"/>
    <w:sectPr w:rsidR="0018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96"/>
    <w:rsid w:val="000008A3"/>
    <w:rsid w:val="00004384"/>
    <w:rsid w:val="00004FCC"/>
    <w:rsid w:val="00005F10"/>
    <w:rsid w:val="0001149C"/>
    <w:rsid w:val="0001358A"/>
    <w:rsid w:val="00013BB7"/>
    <w:rsid w:val="00014DB6"/>
    <w:rsid w:val="000176B3"/>
    <w:rsid w:val="000205CC"/>
    <w:rsid w:val="0002277D"/>
    <w:rsid w:val="0002421D"/>
    <w:rsid w:val="00026CD6"/>
    <w:rsid w:val="00027045"/>
    <w:rsid w:val="000322E6"/>
    <w:rsid w:val="00032603"/>
    <w:rsid w:val="0003327F"/>
    <w:rsid w:val="00035177"/>
    <w:rsid w:val="0003566A"/>
    <w:rsid w:val="00042DA9"/>
    <w:rsid w:val="00044635"/>
    <w:rsid w:val="0004543A"/>
    <w:rsid w:val="00050C59"/>
    <w:rsid w:val="000705F6"/>
    <w:rsid w:val="00073059"/>
    <w:rsid w:val="00074FE2"/>
    <w:rsid w:val="00075554"/>
    <w:rsid w:val="000762E2"/>
    <w:rsid w:val="00091A6C"/>
    <w:rsid w:val="000B789C"/>
    <w:rsid w:val="000C0309"/>
    <w:rsid w:val="000C099A"/>
    <w:rsid w:val="000C5639"/>
    <w:rsid w:val="000D0D38"/>
    <w:rsid w:val="000D1F5A"/>
    <w:rsid w:val="000D49ED"/>
    <w:rsid w:val="000D6C23"/>
    <w:rsid w:val="000E5A3C"/>
    <w:rsid w:val="000E679F"/>
    <w:rsid w:val="000F1422"/>
    <w:rsid w:val="000F2D1C"/>
    <w:rsid w:val="00100F60"/>
    <w:rsid w:val="00104449"/>
    <w:rsid w:val="00105006"/>
    <w:rsid w:val="00111A56"/>
    <w:rsid w:val="00121604"/>
    <w:rsid w:val="0012741A"/>
    <w:rsid w:val="00135F4A"/>
    <w:rsid w:val="00140408"/>
    <w:rsid w:val="00141B1D"/>
    <w:rsid w:val="00150CF1"/>
    <w:rsid w:val="00156818"/>
    <w:rsid w:val="00163B54"/>
    <w:rsid w:val="00163EC8"/>
    <w:rsid w:val="0016454C"/>
    <w:rsid w:val="001675B6"/>
    <w:rsid w:val="00173D1B"/>
    <w:rsid w:val="001745A4"/>
    <w:rsid w:val="0017774D"/>
    <w:rsid w:val="00182A4F"/>
    <w:rsid w:val="001849E1"/>
    <w:rsid w:val="00187501"/>
    <w:rsid w:val="001909DF"/>
    <w:rsid w:val="0019210C"/>
    <w:rsid w:val="001922B9"/>
    <w:rsid w:val="001970B3"/>
    <w:rsid w:val="001B6305"/>
    <w:rsid w:val="001C2867"/>
    <w:rsid w:val="001C3F14"/>
    <w:rsid w:val="001D047E"/>
    <w:rsid w:val="001D5DC4"/>
    <w:rsid w:val="001E1065"/>
    <w:rsid w:val="001F0D9A"/>
    <w:rsid w:val="001F1C99"/>
    <w:rsid w:val="001F1ED7"/>
    <w:rsid w:val="001F7BC3"/>
    <w:rsid w:val="002067FB"/>
    <w:rsid w:val="00216D14"/>
    <w:rsid w:val="00216E3E"/>
    <w:rsid w:val="00221E2A"/>
    <w:rsid w:val="00222EEE"/>
    <w:rsid w:val="00223E6B"/>
    <w:rsid w:val="00224353"/>
    <w:rsid w:val="00225060"/>
    <w:rsid w:val="00235322"/>
    <w:rsid w:val="002438CE"/>
    <w:rsid w:val="00251256"/>
    <w:rsid w:val="0025181A"/>
    <w:rsid w:val="0025414D"/>
    <w:rsid w:val="00257781"/>
    <w:rsid w:val="00262CA6"/>
    <w:rsid w:val="00266674"/>
    <w:rsid w:val="002754E6"/>
    <w:rsid w:val="00276042"/>
    <w:rsid w:val="002817B0"/>
    <w:rsid w:val="00281F8D"/>
    <w:rsid w:val="002823DA"/>
    <w:rsid w:val="002902FC"/>
    <w:rsid w:val="00292586"/>
    <w:rsid w:val="00293753"/>
    <w:rsid w:val="00296B4F"/>
    <w:rsid w:val="00296C6D"/>
    <w:rsid w:val="00297679"/>
    <w:rsid w:val="00297E5D"/>
    <w:rsid w:val="002A0246"/>
    <w:rsid w:val="002A4E65"/>
    <w:rsid w:val="002B5193"/>
    <w:rsid w:val="002B7E5C"/>
    <w:rsid w:val="002B7F40"/>
    <w:rsid w:val="002C0938"/>
    <w:rsid w:val="002C4C03"/>
    <w:rsid w:val="002D0168"/>
    <w:rsid w:val="002D0F2A"/>
    <w:rsid w:val="002D256D"/>
    <w:rsid w:val="002D7F0E"/>
    <w:rsid w:val="002E29F3"/>
    <w:rsid w:val="002E364E"/>
    <w:rsid w:val="002F1182"/>
    <w:rsid w:val="002F28A0"/>
    <w:rsid w:val="002F78BD"/>
    <w:rsid w:val="00300754"/>
    <w:rsid w:val="003106C9"/>
    <w:rsid w:val="00310DFD"/>
    <w:rsid w:val="00310F6C"/>
    <w:rsid w:val="003146C3"/>
    <w:rsid w:val="0031503D"/>
    <w:rsid w:val="00320664"/>
    <w:rsid w:val="00323688"/>
    <w:rsid w:val="0032412B"/>
    <w:rsid w:val="003241E9"/>
    <w:rsid w:val="003260B4"/>
    <w:rsid w:val="00327CA7"/>
    <w:rsid w:val="00330C3B"/>
    <w:rsid w:val="003406B2"/>
    <w:rsid w:val="0034129E"/>
    <w:rsid w:val="00344233"/>
    <w:rsid w:val="003464D1"/>
    <w:rsid w:val="0035706D"/>
    <w:rsid w:val="00357F06"/>
    <w:rsid w:val="003612B4"/>
    <w:rsid w:val="00370E0A"/>
    <w:rsid w:val="00371A15"/>
    <w:rsid w:val="0037337B"/>
    <w:rsid w:val="00373A62"/>
    <w:rsid w:val="00373E40"/>
    <w:rsid w:val="0037747F"/>
    <w:rsid w:val="003827D4"/>
    <w:rsid w:val="00392CCA"/>
    <w:rsid w:val="003B4783"/>
    <w:rsid w:val="003C737A"/>
    <w:rsid w:val="003C749D"/>
    <w:rsid w:val="003D17BD"/>
    <w:rsid w:val="003D2B3E"/>
    <w:rsid w:val="003D3B4B"/>
    <w:rsid w:val="003D4905"/>
    <w:rsid w:val="003F0F65"/>
    <w:rsid w:val="003F1D69"/>
    <w:rsid w:val="003F5BCC"/>
    <w:rsid w:val="003F7C5B"/>
    <w:rsid w:val="004055E3"/>
    <w:rsid w:val="0041237F"/>
    <w:rsid w:val="00413791"/>
    <w:rsid w:val="00414881"/>
    <w:rsid w:val="004166B4"/>
    <w:rsid w:val="00416FF3"/>
    <w:rsid w:val="00422B02"/>
    <w:rsid w:val="00431984"/>
    <w:rsid w:val="004323CA"/>
    <w:rsid w:val="00432BD3"/>
    <w:rsid w:val="004345EB"/>
    <w:rsid w:val="00434695"/>
    <w:rsid w:val="0043569E"/>
    <w:rsid w:val="004401B8"/>
    <w:rsid w:val="00441548"/>
    <w:rsid w:val="004443A7"/>
    <w:rsid w:val="00446A2F"/>
    <w:rsid w:val="00452313"/>
    <w:rsid w:val="00453B00"/>
    <w:rsid w:val="00457026"/>
    <w:rsid w:val="00461102"/>
    <w:rsid w:val="00464538"/>
    <w:rsid w:val="0046516B"/>
    <w:rsid w:val="004672E8"/>
    <w:rsid w:val="00471024"/>
    <w:rsid w:val="00473D2D"/>
    <w:rsid w:val="004749EC"/>
    <w:rsid w:val="004759F2"/>
    <w:rsid w:val="00477858"/>
    <w:rsid w:val="004778AB"/>
    <w:rsid w:val="00481120"/>
    <w:rsid w:val="00481434"/>
    <w:rsid w:val="00484BC2"/>
    <w:rsid w:val="004909A3"/>
    <w:rsid w:val="0049309B"/>
    <w:rsid w:val="0049352B"/>
    <w:rsid w:val="004A5EAA"/>
    <w:rsid w:val="004A6522"/>
    <w:rsid w:val="004B0096"/>
    <w:rsid w:val="004B1715"/>
    <w:rsid w:val="004B17E8"/>
    <w:rsid w:val="004B5CC1"/>
    <w:rsid w:val="004B6158"/>
    <w:rsid w:val="004C23BD"/>
    <w:rsid w:val="004C3787"/>
    <w:rsid w:val="004C6C95"/>
    <w:rsid w:val="004C7FDE"/>
    <w:rsid w:val="004D0950"/>
    <w:rsid w:val="004D3818"/>
    <w:rsid w:val="004D68B2"/>
    <w:rsid w:val="004E1900"/>
    <w:rsid w:val="004E286F"/>
    <w:rsid w:val="004E48D0"/>
    <w:rsid w:val="004E6134"/>
    <w:rsid w:val="004F0348"/>
    <w:rsid w:val="004F19A0"/>
    <w:rsid w:val="004F5097"/>
    <w:rsid w:val="004F5CFA"/>
    <w:rsid w:val="005007E1"/>
    <w:rsid w:val="00503ACA"/>
    <w:rsid w:val="005052F4"/>
    <w:rsid w:val="00505F99"/>
    <w:rsid w:val="00507A53"/>
    <w:rsid w:val="0051581F"/>
    <w:rsid w:val="00517100"/>
    <w:rsid w:val="00520AC2"/>
    <w:rsid w:val="00522AF4"/>
    <w:rsid w:val="00523B5D"/>
    <w:rsid w:val="0052412A"/>
    <w:rsid w:val="005274CA"/>
    <w:rsid w:val="005305C3"/>
    <w:rsid w:val="0053288C"/>
    <w:rsid w:val="00533D46"/>
    <w:rsid w:val="0054010B"/>
    <w:rsid w:val="00561B2B"/>
    <w:rsid w:val="00567E2D"/>
    <w:rsid w:val="005735B2"/>
    <w:rsid w:val="00581E4D"/>
    <w:rsid w:val="00584925"/>
    <w:rsid w:val="0058698E"/>
    <w:rsid w:val="00586B88"/>
    <w:rsid w:val="00595600"/>
    <w:rsid w:val="005958D6"/>
    <w:rsid w:val="005A19F8"/>
    <w:rsid w:val="005A3FF2"/>
    <w:rsid w:val="005A5598"/>
    <w:rsid w:val="005B190B"/>
    <w:rsid w:val="005B3CF9"/>
    <w:rsid w:val="005B48CB"/>
    <w:rsid w:val="005B5B0A"/>
    <w:rsid w:val="005C67CC"/>
    <w:rsid w:val="005D11F1"/>
    <w:rsid w:val="005D7443"/>
    <w:rsid w:val="005D76CA"/>
    <w:rsid w:val="005D7C3E"/>
    <w:rsid w:val="005E3A8B"/>
    <w:rsid w:val="005E3BBD"/>
    <w:rsid w:val="005E767D"/>
    <w:rsid w:val="005F15A2"/>
    <w:rsid w:val="005F3911"/>
    <w:rsid w:val="005F3CEC"/>
    <w:rsid w:val="00602489"/>
    <w:rsid w:val="00602833"/>
    <w:rsid w:val="006048F7"/>
    <w:rsid w:val="00604F1D"/>
    <w:rsid w:val="0061152B"/>
    <w:rsid w:val="00617E69"/>
    <w:rsid w:val="00630E93"/>
    <w:rsid w:val="006352CB"/>
    <w:rsid w:val="00636A44"/>
    <w:rsid w:val="006432C5"/>
    <w:rsid w:val="00644BE5"/>
    <w:rsid w:val="00647621"/>
    <w:rsid w:val="006509F2"/>
    <w:rsid w:val="00656D0F"/>
    <w:rsid w:val="00657F90"/>
    <w:rsid w:val="006606E2"/>
    <w:rsid w:val="00664DBA"/>
    <w:rsid w:val="006654D8"/>
    <w:rsid w:val="00670F46"/>
    <w:rsid w:val="0067159C"/>
    <w:rsid w:val="00676237"/>
    <w:rsid w:val="006775BF"/>
    <w:rsid w:val="00677989"/>
    <w:rsid w:val="006822C2"/>
    <w:rsid w:val="00683CAF"/>
    <w:rsid w:val="006A220A"/>
    <w:rsid w:val="006B0553"/>
    <w:rsid w:val="006B3089"/>
    <w:rsid w:val="006B31F7"/>
    <w:rsid w:val="006B5715"/>
    <w:rsid w:val="006B59B2"/>
    <w:rsid w:val="006B6F28"/>
    <w:rsid w:val="006B72E9"/>
    <w:rsid w:val="006C688C"/>
    <w:rsid w:val="006E5891"/>
    <w:rsid w:val="006E7B33"/>
    <w:rsid w:val="006F3F27"/>
    <w:rsid w:val="006F59D7"/>
    <w:rsid w:val="006F6482"/>
    <w:rsid w:val="00706BF1"/>
    <w:rsid w:val="00711A5B"/>
    <w:rsid w:val="00712CE4"/>
    <w:rsid w:val="00715283"/>
    <w:rsid w:val="007205A9"/>
    <w:rsid w:val="00733EDF"/>
    <w:rsid w:val="007347E7"/>
    <w:rsid w:val="0073623B"/>
    <w:rsid w:val="007434C3"/>
    <w:rsid w:val="00743C85"/>
    <w:rsid w:val="0074668C"/>
    <w:rsid w:val="00746A19"/>
    <w:rsid w:val="007522D3"/>
    <w:rsid w:val="00752A9E"/>
    <w:rsid w:val="00753300"/>
    <w:rsid w:val="00753512"/>
    <w:rsid w:val="00763035"/>
    <w:rsid w:val="0076495A"/>
    <w:rsid w:val="00765071"/>
    <w:rsid w:val="00772D9C"/>
    <w:rsid w:val="00783B51"/>
    <w:rsid w:val="007842FB"/>
    <w:rsid w:val="00787781"/>
    <w:rsid w:val="007908BD"/>
    <w:rsid w:val="007943FB"/>
    <w:rsid w:val="007A2126"/>
    <w:rsid w:val="007A5D71"/>
    <w:rsid w:val="007A7E9F"/>
    <w:rsid w:val="007B4937"/>
    <w:rsid w:val="007C13CE"/>
    <w:rsid w:val="007C4470"/>
    <w:rsid w:val="007C78AE"/>
    <w:rsid w:val="007C7A83"/>
    <w:rsid w:val="007D274F"/>
    <w:rsid w:val="007D40FF"/>
    <w:rsid w:val="007D4E64"/>
    <w:rsid w:val="007E35C1"/>
    <w:rsid w:val="007F00DE"/>
    <w:rsid w:val="007F4337"/>
    <w:rsid w:val="007F625E"/>
    <w:rsid w:val="00802F94"/>
    <w:rsid w:val="0080405C"/>
    <w:rsid w:val="00805F07"/>
    <w:rsid w:val="00825382"/>
    <w:rsid w:val="00831E85"/>
    <w:rsid w:val="008333F4"/>
    <w:rsid w:val="00834B9F"/>
    <w:rsid w:val="0083683C"/>
    <w:rsid w:val="00845C79"/>
    <w:rsid w:val="00851E83"/>
    <w:rsid w:val="00857E9D"/>
    <w:rsid w:val="008627A2"/>
    <w:rsid w:val="008737CC"/>
    <w:rsid w:val="008739E9"/>
    <w:rsid w:val="0087411B"/>
    <w:rsid w:val="00881F2D"/>
    <w:rsid w:val="0089225C"/>
    <w:rsid w:val="00892300"/>
    <w:rsid w:val="00892BA7"/>
    <w:rsid w:val="008964AF"/>
    <w:rsid w:val="00896DCC"/>
    <w:rsid w:val="008A0833"/>
    <w:rsid w:val="008A16A0"/>
    <w:rsid w:val="008A3AF9"/>
    <w:rsid w:val="008A6757"/>
    <w:rsid w:val="008B117D"/>
    <w:rsid w:val="008B6DB3"/>
    <w:rsid w:val="008B7C89"/>
    <w:rsid w:val="008C0645"/>
    <w:rsid w:val="008C6BA2"/>
    <w:rsid w:val="008D34ED"/>
    <w:rsid w:val="008D4E75"/>
    <w:rsid w:val="008D6E76"/>
    <w:rsid w:val="008E1699"/>
    <w:rsid w:val="008E4D1B"/>
    <w:rsid w:val="008F7C0F"/>
    <w:rsid w:val="00906F54"/>
    <w:rsid w:val="00923C42"/>
    <w:rsid w:val="00934437"/>
    <w:rsid w:val="00937352"/>
    <w:rsid w:val="00937C9C"/>
    <w:rsid w:val="00943989"/>
    <w:rsid w:val="00946114"/>
    <w:rsid w:val="00947E5E"/>
    <w:rsid w:val="009511BE"/>
    <w:rsid w:val="009566A3"/>
    <w:rsid w:val="00957BA1"/>
    <w:rsid w:val="00962245"/>
    <w:rsid w:val="00962A8D"/>
    <w:rsid w:val="00962C9F"/>
    <w:rsid w:val="00972F24"/>
    <w:rsid w:val="00976B21"/>
    <w:rsid w:val="00980721"/>
    <w:rsid w:val="00980E07"/>
    <w:rsid w:val="00981579"/>
    <w:rsid w:val="00982515"/>
    <w:rsid w:val="009903F4"/>
    <w:rsid w:val="00993A6A"/>
    <w:rsid w:val="009963D0"/>
    <w:rsid w:val="009B2950"/>
    <w:rsid w:val="009B69F4"/>
    <w:rsid w:val="009B77E4"/>
    <w:rsid w:val="009B7A6D"/>
    <w:rsid w:val="009C1E74"/>
    <w:rsid w:val="009C3186"/>
    <w:rsid w:val="009C5AF8"/>
    <w:rsid w:val="009C7252"/>
    <w:rsid w:val="009D0991"/>
    <w:rsid w:val="009D76C7"/>
    <w:rsid w:val="009E5C05"/>
    <w:rsid w:val="009F3F1F"/>
    <w:rsid w:val="009F3F70"/>
    <w:rsid w:val="009F4AAC"/>
    <w:rsid w:val="009F57FB"/>
    <w:rsid w:val="009F7F24"/>
    <w:rsid w:val="00A14971"/>
    <w:rsid w:val="00A33655"/>
    <w:rsid w:val="00A37D97"/>
    <w:rsid w:val="00A45821"/>
    <w:rsid w:val="00A459A5"/>
    <w:rsid w:val="00A4730A"/>
    <w:rsid w:val="00A4797A"/>
    <w:rsid w:val="00A53F2D"/>
    <w:rsid w:val="00A6373E"/>
    <w:rsid w:val="00A640BF"/>
    <w:rsid w:val="00A6541D"/>
    <w:rsid w:val="00A76810"/>
    <w:rsid w:val="00A77E33"/>
    <w:rsid w:val="00A86B08"/>
    <w:rsid w:val="00A872B6"/>
    <w:rsid w:val="00A94A28"/>
    <w:rsid w:val="00A97490"/>
    <w:rsid w:val="00AA1B4D"/>
    <w:rsid w:val="00AA6CE0"/>
    <w:rsid w:val="00AB2382"/>
    <w:rsid w:val="00AB75BA"/>
    <w:rsid w:val="00AC18CD"/>
    <w:rsid w:val="00AC35CB"/>
    <w:rsid w:val="00AC653F"/>
    <w:rsid w:val="00AD5E0C"/>
    <w:rsid w:val="00AE549B"/>
    <w:rsid w:val="00B01021"/>
    <w:rsid w:val="00B05B39"/>
    <w:rsid w:val="00B06496"/>
    <w:rsid w:val="00B1171F"/>
    <w:rsid w:val="00B15953"/>
    <w:rsid w:val="00B162BA"/>
    <w:rsid w:val="00B17006"/>
    <w:rsid w:val="00B246D7"/>
    <w:rsid w:val="00B2655A"/>
    <w:rsid w:val="00B332A7"/>
    <w:rsid w:val="00B3520F"/>
    <w:rsid w:val="00B35DC7"/>
    <w:rsid w:val="00B37927"/>
    <w:rsid w:val="00B4037F"/>
    <w:rsid w:val="00B523A7"/>
    <w:rsid w:val="00B552CC"/>
    <w:rsid w:val="00B57862"/>
    <w:rsid w:val="00B61C55"/>
    <w:rsid w:val="00B624B5"/>
    <w:rsid w:val="00B62A44"/>
    <w:rsid w:val="00B65DB8"/>
    <w:rsid w:val="00B65FAB"/>
    <w:rsid w:val="00B728DE"/>
    <w:rsid w:val="00B72E71"/>
    <w:rsid w:val="00B74C71"/>
    <w:rsid w:val="00B8391A"/>
    <w:rsid w:val="00B915C2"/>
    <w:rsid w:val="00B92B39"/>
    <w:rsid w:val="00B92FD1"/>
    <w:rsid w:val="00B93763"/>
    <w:rsid w:val="00BA0705"/>
    <w:rsid w:val="00BA0976"/>
    <w:rsid w:val="00BA1DAC"/>
    <w:rsid w:val="00BB7EAB"/>
    <w:rsid w:val="00BC25B0"/>
    <w:rsid w:val="00BC3AE2"/>
    <w:rsid w:val="00BD0834"/>
    <w:rsid w:val="00BD4DB7"/>
    <w:rsid w:val="00BD6138"/>
    <w:rsid w:val="00BD6539"/>
    <w:rsid w:val="00BF1AA1"/>
    <w:rsid w:val="00BF77AA"/>
    <w:rsid w:val="00C0154D"/>
    <w:rsid w:val="00C0641F"/>
    <w:rsid w:val="00C1629A"/>
    <w:rsid w:val="00C21305"/>
    <w:rsid w:val="00C227E0"/>
    <w:rsid w:val="00C34076"/>
    <w:rsid w:val="00C37894"/>
    <w:rsid w:val="00C40B22"/>
    <w:rsid w:val="00C42111"/>
    <w:rsid w:val="00C44A79"/>
    <w:rsid w:val="00C56024"/>
    <w:rsid w:val="00C636DA"/>
    <w:rsid w:val="00C65947"/>
    <w:rsid w:val="00C66FC1"/>
    <w:rsid w:val="00C704B6"/>
    <w:rsid w:val="00C72A31"/>
    <w:rsid w:val="00C83E7F"/>
    <w:rsid w:val="00C84D8F"/>
    <w:rsid w:val="00C91568"/>
    <w:rsid w:val="00C95738"/>
    <w:rsid w:val="00C96AC8"/>
    <w:rsid w:val="00C972F4"/>
    <w:rsid w:val="00CA15AA"/>
    <w:rsid w:val="00CA1BE2"/>
    <w:rsid w:val="00CA35F1"/>
    <w:rsid w:val="00CA4A88"/>
    <w:rsid w:val="00CA6617"/>
    <w:rsid w:val="00CA6B2B"/>
    <w:rsid w:val="00CA7BD1"/>
    <w:rsid w:val="00CB139B"/>
    <w:rsid w:val="00CB1600"/>
    <w:rsid w:val="00CB1AD2"/>
    <w:rsid w:val="00CB611B"/>
    <w:rsid w:val="00CB71AA"/>
    <w:rsid w:val="00CC2D38"/>
    <w:rsid w:val="00CC3683"/>
    <w:rsid w:val="00CC527A"/>
    <w:rsid w:val="00CC5F55"/>
    <w:rsid w:val="00CC696C"/>
    <w:rsid w:val="00CD2713"/>
    <w:rsid w:val="00CD6E96"/>
    <w:rsid w:val="00CE5C7E"/>
    <w:rsid w:val="00CE6523"/>
    <w:rsid w:val="00CF13FC"/>
    <w:rsid w:val="00CF15A5"/>
    <w:rsid w:val="00CF4EA6"/>
    <w:rsid w:val="00D10657"/>
    <w:rsid w:val="00D12EBF"/>
    <w:rsid w:val="00D14459"/>
    <w:rsid w:val="00D15E21"/>
    <w:rsid w:val="00D301C2"/>
    <w:rsid w:val="00D304B3"/>
    <w:rsid w:val="00D3407E"/>
    <w:rsid w:val="00D40A22"/>
    <w:rsid w:val="00D42F51"/>
    <w:rsid w:val="00D43FBE"/>
    <w:rsid w:val="00D4663D"/>
    <w:rsid w:val="00D4693B"/>
    <w:rsid w:val="00D4764E"/>
    <w:rsid w:val="00D50FCA"/>
    <w:rsid w:val="00D518DE"/>
    <w:rsid w:val="00D5213E"/>
    <w:rsid w:val="00D5222C"/>
    <w:rsid w:val="00D53990"/>
    <w:rsid w:val="00D56713"/>
    <w:rsid w:val="00D6020C"/>
    <w:rsid w:val="00D60470"/>
    <w:rsid w:val="00D7054C"/>
    <w:rsid w:val="00D748EE"/>
    <w:rsid w:val="00D74AAD"/>
    <w:rsid w:val="00D74EE0"/>
    <w:rsid w:val="00D77A97"/>
    <w:rsid w:val="00D801A0"/>
    <w:rsid w:val="00D859E5"/>
    <w:rsid w:val="00D87A7A"/>
    <w:rsid w:val="00D93F69"/>
    <w:rsid w:val="00D94A35"/>
    <w:rsid w:val="00DA3222"/>
    <w:rsid w:val="00DB1B9E"/>
    <w:rsid w:val="00DB7092"/>
    <w:rsid w:val="00DC4860"/>
    <w:rsid w:val="00DD3DA8"/>
    <w:rsid w:val="00DE25BF"/>
    <w:rsid w:val="00DE4634"/>
    <w:rsid w:val="00E02CC0"/>
    <w:rsid w:val="00E05EEA"/>
    <w:rsid w:val="00E064A6"/>
    <w:rsid w:val="00E068DA"/>
    <w:rsid w:val="00E0752E"/>
    <w:rsid w:val="00E162D6"/>
    <w:rsid w:val="00E17C0F"/>
    <w:rsid w:val="00E20D29"/>
    <w:rsid w:val="00E253A2"/>
    <w:rsid w:val="00E26E03"/>
    <w:rsid w:val="00E324B3"/>
    <w:rsid w:val="00E41F88"/>
    <w:rsid w:val="00E43EC8"/>
    <w:rsid w:val="00E444E6"/>
    <w:rsid w:val="00E45421"/>
    <w:rsid w:val="00E4596E"/>
    <w:rsid w:val="00E5446E"/>
    <w:rsid w:val="00E55B6A"/>
    <w:rsid w:val="00E614CF"/>
    <w:rsid w:val="00E65C3C"/>
    <w:rsid w:val="00E74F62"/>
    <w:rsid w:val="00E777C2"/>
    <w:rsid w:val="00E83873"/>
    <w:rsid w:val="00E95C78"/>
    <w:rsid w:val="00E965C4"/>
    <w:rsid w:val="00E97B58"/>
    <w:rsid w:val="00EA17F7"/>
    <w:rsid w:val="00EA5C8B"/>
    <w:rsid w:val="00EB2E54"/>
    <w:rsid w:val="00EB4463"/>
    <w:rsid w:val="00EB458C"/>
    <w:rsid w:val="00EB6743"/>
    <w:rsid w:val="00EB6780"/>
    <w:rsid w:val="00EB7AF5"/>
    <w:rsid w:val="00EC0A9C"/>
    <w:rsid w:val="00EC3199"/>
    <w:rsid w:val="00EC3B30"/>
    <w:rsid w:val="00ED14BB"/>
    <w:rsid w:val="00ED2919"/>
    <w:rsid w:val="00ED2C61"/>
    <w:rsid w:val="00ED604B"/>
    <w:rsid w:val="00EE0A4B"/>
    <w:rsid w:val="00EF0269"/>
    <w:rsid w:val="00EF52F9"/>
    <w:rsid w:val="00EF61C3"/>
    <w:rsid w:val="00F13AA4"/>
    <w:rsid w:val="00F178E5"/>
    <w:rsid w:val="00F17F10"/>
    <w:rsid w:val="00F24A4F"/>
    <w:rsid w:val="00F300BA"/>
    <w:rsid w:val="00F306A8"/>
    <w:rsid w:val="00F374CE"/>
    <w:rsid w:val="00F4191C"/>
    <w:rsid w:val="00F43206"/>
    <w:rsid w:val="00F4334C"/>
    <w:rsid w:val="00F513F0"/>
    <w:rsid w:val="00F605F8"/>
    <w:rsid w:val="00F6653D"/>
    <w:rsid w:val="00F677BC"/>
    <w:rsid w:val="00F70EA1"/>
    <w:rsid w:val="00F74B8B"/>
    <w:rsid w:val="00F752B7"/>
    <w:rsid w:val="00F75AD7"/>
    <w:rsid w:val="00F7630E"/>
    <w:rsid w:val="00F8404C"/>
    <w:rsid w:val="00F951AC"/>
    <w:rsid w:val="00F97C3D"/>
    <w:rsid w:val="00F97DA6"/>
    <w:rsid w:val="00FA0A7F"/>
    <w:rsid w:val="00FA10E4"/>
    <w:rsid w:val="00FA3BDF"/>
    <w:rsid w:val="00FA5295"/>
    <w:rsid w:val="00FA5AD1"/>
    <w:rsid w:val="00FA6155"/>
    <w:rsid w:val="00FB14FF"/>
    <w:rsid w:val="00FB36B2"/>
    <w:rsid w:val="00FB536B"/>
    <w:rsid w:val="00FB550B"/>
    <w:rsid w:val="00FC4F1D"/>
    <w:rsid w:val="00FC6567"/>
    <w:rsid w:val="00FC746D"/>
    <w:rsid w:val="00FC7E69"/>
    <w:rsid w:val="00FD1143"/>
    <w:rsid w:val="00FD2D21"/>
    <w:rsid w:val="00FE01C9"/>
    <w:rsid w:val="00FE0BCE"/>
    <w:rsid w:val="00FE12A4"/>
    <w:rsid w:val="00FF19A1"/>
    <w:rsid w:val="00FF2E2A"/>
    <w:rsid w:val="00FF40B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316F"/>
  <w15:chartTrackingRefBased/>
  <w15:docId w15:val="{A6A4A381-8955-4D80-9F1C-277FBB7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Franczyk</dc:creator>
  <cp:keywords/>
  <dc:description/>
  <cp:lastModifiedBy>Matthew  Powers</cp:lastModifiedBy>
  <cp:revision>2</cp:revision>
  <dcterms:created xsi:type="dcterms:W3CDTF">2023-09-08T18:07:00Z</dcterms:created>
  <dcterms:modified xsi:type="dcterms:W3CDTF">2023-09-08T18:07:00Z</dcterms:modified>
</cp:coreProperties>
</file>